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00" w:rsidRDefault="0058619A">
      <w:r>
        <w:rPr>
          <w:b/>
        </w:rPr>
        <w:t>Purpose</w:t>
      </w:r>
      <w:r w:rsidR="00D946E8" w:rsidRPr="00D946E8">
        <w:rPr>
          <w:rFonts w:ascii="Garamond" w:hAnsi="Garamond"/>
          <w:sz w:val="24"/>
          <w:szCs w:val="24"/>
        </w:rPr>
        <w:t xml:space="preserve"> </w:t>
      </w:r>
      <w:r w:rsidR="00D946E8" w:rsidRPr="00350248">
        <w:rPr>
          <w:rFonts w:ascii="Garamond" w:hAnsi="Garamond"/>
          <w:sz w:val="24"/>
          <w:szCs w:val="24"/>
        </w:rPr>
        <w:t>The purpose of the technical workgroup is to review</w:t>
      </w:r>
      <w:r w:rsidR="00D946E8">
        <w:rPr>
          <w:rFonts w:ascii="Garamond" w:hAnsi="Garamond"/>
          <w:sz w:val="24"/>
          <w:szCs w:val="24"/>
        </w:rPr>
        <w:t xml:space="preserve"> and provide feedback on</w:t>
      </w:r>
      <w:r w:rsidR="00D946E8" w:rsidRPr="00350248">
        <w:rPr>
          <w:rFonts w:ascii="Garamond" w:hAnsi="Garamond"/>
          <w:sz w:val="24"/>
          <w:szCs w:val="24"/>
        </w:rPr>
        <w:t xml:space="preserve"> key technical issues</w:t>
      </w:r>
      <w:r w:rsidR="00D946E8">
        <w:rPr>
          <w:rFonts w:ascii="Garamond" w:hAnsi="Garamond"/>
          <w:sz w:val="24"/>
          <w:szCs w:val="24"/>
        </w:rPr>
        <w:t>,</w:t>
      </w:r>
      <w:r w:rsidR="00D946E8" w:rsidRPr="00350248">
        <w:rPr>
          <w:rFonts w:ascii="Garamond" w:hAnsi="Garamond"/>
          <w:sz w:val="24"/>
          <w:szCs w:val="24"/>
        </w:rPr>
        <w:t xml:space="preserve"> identified by DEC</w:t>
      </w:r>
      <w:r w:rsidR="00D946E8">
        <w:rPr>
          <w:rFonts w:ascii="Garamond" w:hAnsi="Garamond"/>
          <w:sz w:val="24"/>
          <w:szCs w:val="24"/>
        </w:rPr>
        <w:t>,</w:t>
      </w:r>
      <w:r w:rsidR="00D946E8" w:rsidRPr="00350248">
        <w:rPr>
          <w:rFonts w:ascii="Garamond" w:hAnsi="Garamond"/>
          <w:sz w:val="24"/>
          <w:szCs w:val="24"/>
        </w:rPr>
        <w:t xml:space="preserve"> </w:t>
      </w:r>
      <w:r w:rsidR="00D946E8">
        <w:rPr>
          <w:rFonts w:ascii="Garamond" w:hAnsi="Garamond"/>
          <w:sz w:val="24"/>
          <w:szCs w:val="24"/>
        </w:rPr>
        <w:t>that affect how Alaska will develop human health criteria in State water quality standards.</w:t>
      </w:r>
    </w:p>
    <w:p w:rsidR="00F315AC" w:rsidRDefault="001C7CA6">
      <w:pPr>
        <w:rPr>
          <w:b/>
        </w:rPr>
      </w:pPr>
      <w:r>
        <w:rPr>
          <w:b/>
        </w:rPr>
        <w:t xml:space="preserve">Workgroup </w:t>
      </w:r>
      <w:r w:rsidR="00F315AC">
        <w:rPr>
          <w:b/>
        </w:rPr>
        <w:t xml:space="preserve">Participants: </w:t>
      </w:r>
    </w:p>
    <w:p w:rsidR="00F315AC" w:rsidRDefault="00196C32">
      <w:r>
        <w:t>Present</w:t>
      </w:r>
      <w:r w:rsidR="00F315AC">
        <w:t>:</w:t>
      </w:r>
      <w:r>
        <w:t xml:space="preserve"> J. Berner; L. Duffy; </w:t>
      </w:r>
      <w:r w:rsidR="001C7CA6">
        <w:t xml:space="preserve">J. Fall, </w:t>
      </w:r>
      <w:r>
        <w:t>A. Hamade; B. Jokela; A. Kelley;</w:t>
      </w:r>
      <w:r w:rsidR="001C7CA6">
        <w:t xml:space="preserve"> N. Sonafrank</w:t>
      </w:r>
      <w:r>
        <w:t>; L. Verbrugge; K. Zamzow</w:t>
      </w:r>
    </w:p>
    <w:p w:rsidR="00F315AC" w:rsidRDefault="00F315AC">
      <w:r>
        <w:t xml:space="preserve">Remote: </w:t>
      </w:r>
      <w:r w:rsidR="00196C32">
        <w:t>L. Kissinger; M. Opheim;</w:t>
      </w:r>
      <w:r w:rsidR="001C7CA6">
        <w:t xml:space="preserve"> T. Wu</w:t>
      </w:r>
    </w:p>
    <w:p w:rsidR="001C7CA6" w:rsidRPr="00F315AC" w:rsidRDefault="001C7CA6">
      <w:r>
        <w:t>Absent: B. Gerlach</w:t>
      </w:r>
    </w:p>
    <w:p w:rsidR="0058619A" w:rsidRDefault="00F315AC">
      <w:pPr>
        <w:rPr>
          <w:b/>
        </w:rPr>
      </w:pPr>
      <w:r>
        <w:rPr>
          <w:b/>
        </w:rPr>
        <w:t>Expected Meeting Outcome(s)</w:t>
      </w:r>
      <w:r w:rsidR="0058619A">
        <w:rPr>
          <w:b/>
        </w:rPr>
        <w:t xml:space="preserve">: </w:t>
      </w:r>
    </w:p>
    <w:p w:rsidR="0058619A" w:rsidRPr="00382134" w:rsidRDefault="00382134" w:rsidP="0058619A">
      <w:pPr>
        <w:pStyle w:val="ListParagraph"/>
        <w:numPr>
          <w:ilvl w:val="0"/>
          <w:numId w:val="1"/>
        </w:numPr>
        <w:rPr>
          <w:b/>
        </w:rPr>
      </w:pPr>
      <w:r>
        <w:t>Familiarize the Technical Workgroup with the need and process for developing human health criteria in water quality standards;</w:t>
      </w:r>
    </w:p>
    <w:p w:rsidR="00382134" w:rsidRPr="00382134" w:rsidRDefault="00382134" w:rsidP="0058619A">
      <w:pPr>
        <w:pStyle w:val="ListParagraph"/>
        <w:numPr>
          <w:ilvl w:val="0"/>
          <w:numId w:val="1"/>
        </w:numPr>
        <w:rPr>
          <w:b/>
        </w:rPr>
      </w:pPr>
      <w:r>
        <w:t>Familiarize the Technical Workgroup with key technical issues DEC is seeking feedback on; and</w:t>
      </w:r>
    </w:p>
    <w:p w:rsidR="00382134" w:rsidRPr="00382134" w:rsidRDefault="00382134" w:rsidP="0058619A">
      <w:pPr>
        <w:pStyle w:val="ListParagraph"/>
        <w:numPr>
          <w:ilvl w:val="0"/>
          <w:numId w:val="1"/>
        </w:numPr>
        <w:rPr>
          <w:b/>
        </w:rPr>
      </w:pPr>
      <w:r>
        <w:t>Provide a “platform” of common knowledge for future meetings on this issue.</w:t>
      </w:r>
    </w:p>
    <w:p w:rsidR="00382134" w:rsidRDefault="00382134" w:rsidP="00382134">
      <w:pPr>
        <w:rPr>
          <w:b/>
        </w:rPr>
      </w:pPr>
      <w:r>
        <w:rPr>
          <w:b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798"/>
        <w:gridCol w:w="3117"/>
      </w:tblGrid>
      <w:tr w:rsidR="00382134" w:rsidTr="00382134">
        <w:tc>
          <w:tcPr>
            <w:tcW w:w="1435" w:type="dxa"/>
          </w:tcPr>
          <w:p w:rsidR="00382134" w:rsidRPr="00382134" w:rsidRDefault="00382134" w:rsidP="00382134">
            <w:pPr>
              <w:jc w:val="center"/>
              <w:rPr>
                <w:b/>
              </w:rPr>
            </w:pPr>
            <w:r w:rsidRPr="00382134">
              <w:rPr>
                <w:b/>
              </w:rPr>
              <w:t>Time</w:t>
            </w:r>
          </w:p>
        </w:tc>
        <w:tc>
          <w:tcPr>
            <w:tcW w:w="4798" w:type="dxa"/>
          </w:tcPr>
          <w:p w:rsidR="00382134" w:rsidRPr="00382134" w:rsidRDefault="00382134" w:rsidP="00382134">
            <w:pPr>
              <w:jc w:val="center"/>
              <w:rPr>
                <w:b/>
              </w:rPr>
            </w:pPr>
            <w:r w:rsidRPr="00382134">
              <w:rPr>
                <w:b/>
              </w:rPr>
              <w:t>Action</w:t>
            </w:r>
          </w:p>
        </w:tc>
        <w:tc>
          <w:tcPr>
            <w:tcW w:w="3117" w:type="dxa"/>
          </w:tcPr>
          <w:p w:rsidR="00382134" w:rsidRPr="00382134" w:rsidRDefault="00382134" w:rsidP="00382134">
            <w:pPr>
              <w:jc w:val="center"/>
              <w:rPr>
                <w:b/>
              </w:rPr>
            </w:pPr>
            <w:r w:rsidRPr="00382134">
              <w:rPr>
                <w:b/>
              </w:rPr>
              <w:t>Lead</w:t>
            </w:r>
          </w:p>
        </w:tc>
      </w:tr>
      <w:tr w:rsidR="00382134" w:rsidTr="00382134">
        <w:tc>
          <w:tcPr>
            <w:tcW w:w="1435" w:type="dxa"/>
          </w:tcPr>
          <w:p w:rsidR="00382134" w:rsidRDefault="00246E19" w:rsidP="00382134">
            <w:r>
              <w:t>10 a.m.</w:t>
            </w:r>
          </w:p>
        </w:tc>
        <w:tc>
          <w:tcPr>
            <w:tcW w:w="4798" w:type="dxa"/>
          </w:tcPr>
          <w:p w:rsidR="00382134" w:rsidRDefault="00246E19" w:rsidP="00382134">
            <w:r>
              <w:t>Opening Remarks</w:t>
            </w:r>
          </w:p>
        </w:tc>
        <w:tc>
          <w:tcPr>
            <w:tcW w:w="3117" w:type="dxa"/>
          </w:tcPr>
          <w:p w:rsidR="00382134" w:rsidRDefault="00246E19" w:rsidP="00382134">
            <w:r>
              <w:t>Commissioner Hartig</w:t>
            </w:r>
          </w:p>
        </w:tc>
      </w:tr>
      <w:tr w:rsidR="00382134" w:rsidTr="00382134">
        <w:tc>
          <w:tcPr>
            <w:tcW w:w="1435" w:type="dxa"/>
          </w:tcPr>
          <w:p w:rsidR="00382134" w:rsidRDefault="00246E19" w:rsidP="00382134">
            <w:r>
              <w:t>10:15 a.m.</w:t>
            </w:r>
          </w:p>
        </w:tc>
        <w:tc>
          <w:tcPr>
            <w:tcW w:w="4798" w:type="dxa"/>
          </w:tcPr>
          <w:p w:rsidR="00382134" w:rsidRDefault="00246E19" w:rsidP="00382134">
            <w:r>
              <w:t>Introductions &amp; Purpose of Workgroup</w:t>
            </w:r>
          </w:p>
        </w:tc>
        <w:tc>
          <w:tcPr>
            <w:tcW w:w="3117" w:type="dxa"/>
          </w:tcPr>
          <w:p w:rsidR="00382134" w:rsidRDefault="00246E19" w:rsidP="00382134">
            <w:r>
              <w:t>Michelle Hale. Div. Director</w:t>
            </w:r>
          </w:p>
        </w:tc>
      </w:tr>
      <w:tr w:rsidR="00382134" w:rsidTr="00382134">
        <w:tc>
          <w:tcPr>
            <w:tcW w:w="1435" w:type="dxa"/>
          </w:tcPr>
          <w:p w:rsidR="00382134" w:rsidRDefault="00246E19" w:rsidP="00382134">
            <w:r>
              <w:t>10:20</w:t>
            </w:r>
            <w:r w:rsidR="004802C8">
              <w:t xml:space="preserve"> - 11:45</w:t>
            </w:r>
          </w:p>
        </w:tc>
        <w:tc>
          <w:tcPr>
            <w:tcW w:w="4798" w:type="dxa"/>
          </w:tcPr>
          <w:p w:rsidR="00382134" w:rsidRDefault="00246E19" w:rsidP="00382134">
            <w:r>
              <w:t>Introduction to HHC issue (PPT)</w:t>
            </w:r>
          </w:p>
        </w:tc>
        <w:tc>
          <w:tcPr>
            <w:tcW w:w="3117" w:type="dxa"/>
          </w:tcPr>
          <w:p w:rsidR="00382134" w:rsidRDefault="00246E19" w:rsidP="00382134">
            <w:r>
              <w:t>DEC Staff: Brock Tabor</w:t>
            </w:r>
          </w:p>
        </w:tc>
      </w:tr>
      <w:tr w:rsidR="004802C8" w:rsidTr="00382134">
        <w:tc>
          <w:tcPr>
            <w:tcW w:w="1435" w:type="dxa"/>
          </w:tcPr>
          <w:p w:rsidR="004802C8" w:rsidRDefault="004802C8" w:rsidP="00382134">
            <w:r>
              <w:t>11:45 – 12:00</w:t>
            </w:r>
          </w:p>
        </w:tc>
        <w:tc>
          <w:tcPr>
            <w:tcW w:w="4798" w:type="dxa"/>
          </w:tcPr>
          <w:p w:rsidR="004802C8" w:rsidRDefault="004802C8" w:rsidP="00382134">
            <w:r>
              <w:t>Public Comment</w:t>
            </w:r>
          </w:p>
        </w:tc>
        <w:tc>
          <w:tcPr>
            <w:tcW w:w="3117" w:type="dxa"/>
          </w:tcPr>
          <w:p w:rsidR="004802C8" w:rsidRDefault="004802C8" w:rsidP="00382134">
            <w:r>
              <w:t>DEC Staff: Brock Tabor</w:t>
            </w:r>
          </w:p>
        </w:tc>
      </w:tr>
      <w:tr w:rsidR="00382134" w:rsidTr="00382134">
        <w:tc>
          <w:tcPr>
            <w:tcW w:w="1435" w:type="dxa"/>
          </w:tcPr>
          <w:p w:rsidR="00382134" w:rsidRDefault="00246E19" w:rsidP="00382134">
            <w:r>
              <w:t>12</w:t>
            </w:r>
            <w:r w:rsidR="004802C8">
              <w:t xml:space="preserve">:00 </w:t>
            </w:r>
            <w:r>
              <w:t xml:space="preserve">-1:00 p.m. </w:t>
            </w:r>
          </w:p>
        </w:tc>
        <w:tc>
          <w:tcPr>
            <w:tcW w:w="4798" w:type="dxa"/>
          </w:tcPr>
          <w:p w:rsidR="00382134" w:rsidRDefault="00CD3912" w:rsidP="00382134">
            <w:r>
              <w:t>Lunch on your own</w:t>
            </w:r>
            <w:r w:rsidR="00246E19">
              <w:t xml:space="preserve"> </w:t>
            </w:r>
          </w:p>
        </w:tc>
        <w:tc>
          <w:tcPr>
            <w:tcW w:w="3117" w:type="dxa"/>
          </w:tcPr>
          <w:p w:rsidR="00382134" w:rsidRDefault="00382134" w:rsidP="00382134"/>
        </w:tc>
      </w:tr>
      <w:tr w:rsidR="00382134" w:rsidTr="00382134">
        <w:tc>
          <w:tcPr>
            <w:tcW w:w="1435" w:type="dxa"/>
          </w:tcPr>
          <w:p w:rsidR="00382134" w:rsidRDefault="00246E19" w:rsidP="00382134">
            <w:r>
              <w:t>1:00 –</w:t>
            </w:r>
            <w:r w:rsidR="00594EDD">
              <w:t xml:space="preserve"> 1:30</w:t>
            </w:r>
          </w:p>
        </w:tc>
        <w:tc>
          <w:tcPr>
            <w:tcW w:w="4798" w:type="dxa"/>
          </w:tcPr>
          <w:p w:rsidR="00382134" w:rsidRDefault="00225501" w:rsidP="00225501">
            <w:r>
              <w:t xml:space="preserve">Issue #1: </w:t>
            </w:r>
            <w:r>
              <w:t>Information on Alaska Fish Consumption</w:t>
            </w:r>
          </w:p>
        </w:tc>
        <w:tc>
          <w:tcPr>
            <w:tcW w:w="3117" w:type="dxa"/>
          </w:tcPr>
          <w:p w:rsidR="00382134" w:rsidRDefault="004802C8" w:rsidP="00382134">
            <w:r>
              <w:t>DEC Staff: Brock Tabor</w:t>
            </w:r>
          </w:p>
        </w:tc>
      </w:tr>
      <w:tr w:rsidR="00594EDD" w:rsidTr="00382134">
        <w:tc>
          <w:tcPr>
            <w:tcW w:w="1435" w:type="dxa"/>
          </w:tcPr>
          <w:p w:rsidR="00594EDD" w:rsidRDefault="00594EDD" w:rsidP="00382134">
            <w:r>
              <w:t>1:30 -2:15</w:t>
            </w:r>
          </w:p>
        </w:tc>
        <w:tc>
          <w:tcPr>
            <w:tcW w:w="4798" w:type="dxa"/>
          </w:tcPr>
          <w:p w:rsidR="00594EDD" w:rsidRDefault="00225501" w:rsidP="00382134">
            <w:r>
              <w:t>FCR Survey Methodology</w:t>
            </w:r>
            <w:bookmarkStart w:id="0" w:name="_GoBack"/>
            <w:bookmarkEnd w:id="0"/>
          </w:p>
        </w:tc>
        <w:tc>
          <w:tcPr>
            <w:tcW w:w="3117" w:type="dxa"/>
          </w:tcPr>
          <w:p w:rsidR="00594EDD" w:rsidRDefault="00D458A5" w:rsidP="00382134">
            <w:r>
              <w:t>DEC Staff: Brock Tabor</w:t>
            </w:r>
          </w:p>
        </w:tc>
      </w:tr>
      <w:tr w:rsidR="004802C8" w:rsidTr="00382134">
        <w:tc>
          <w:tcPr>
            <w:tcW w:w="1435" w:type="dxa"/>
          </w:tcPr>
          <w:p w:rsidR="004802C8" w:rsidRDefault="004802C8" w:rsidP="00382134">
            <w:r>
              <w:t xml:space="preserve">2:15 – 2:30 </w:t>
            </w:r>
          </w:p>
        </w:tc>
        <w:tc>
          <w:tcPr>
            <w:tcW w:w="4798" w:type="dxa"/>
          </w:tcPr>
          <w:p w:rsidR="004802C8" w:rsidRDefault="004802C8" w:rsidP="00382134">
            <w:r>
              <w:t>Break</w:t>
            </w:r>
          </w:p>
        </w:tc>
        <w:tc>
          <w:tcPr>
            <w:tcW w:w="3117" w:type="dxa"/>
          </w:tcPr>
          <w:p w:rsidR="004802C8" w:rsidRDefault="004802C8" w:rsidP="00382134"/>
        </w:tc>
      </w:tr>
      <w:tr w:rsidR="00382134" w:rsidTr="00382134">
        <w:tc>
          <w:tcPr>
            <w:tcW w:w="1435" w:type="dxa"/>
          </w:tcPr>
          <w:p w:rsidR="00382134" w:rsidRDefault="004802C8" w:rsidP="00382134">
            <w:r>
              <w:t>2:30 - 3:15</w:t>
            </w:r>
            <w:r w:rsidR="00246E19">
              <w:t xml:space="preserve"> </w:t>
            </w:r>
          </w:p>
        </w:tc>
        <w:tc>
          <w:tcPr>
            <w:tcW w:w="4798" w:type="dxa"/>
          </w:tcPr>
          <w:p w:rsidR="00382134" w:rsidRDefault="00594EDD" w:rsidP="00382134">
            <w:r>
              <w:t>DEC Literature Review and Peer Review</w:t>
            </w:r>
          </w:p>
        </w:tc>
        <w:tc>
          <w:tcPr>
            <w:tcW w:w="3117" w:type="dxa"/>
          </w:tcPr>
          <w:p w:rsidR="00382134" w:rsidRDefault="004802C8" w:rsidP="00382134">
            <w:r>
              <w:t>DEC Staff: Brock Tabor</w:t>
            </w:r>
          </w:p>
        </w:tc>
      </w:tr>
      <w:tr w:rsidR="00382134" w:rsidTr="00382134">
        <w:tc>
          <w:tcPr>
            <w:tcW w:w="1435" w:type="dxa"/>
          </w:tcPr>
          <w:p w:rsidR="00382134" w:rsidRDefault="00594EDD" w:rsidP="00382134">
            <w:r>
              <w:t>3:</w:t>
            </w:r>
            <w:r w:rsidR="004802C8">
              <w:t>15 – 3:45</w:t>
            </w:r>
            <w:r>
              <w:t xml:space="preserve"> </w:t>
            </w:r>
          </w:p>
        </w:tc>
        <w:tc>
          <w:tcPr>
            <w:tcW w:w="4798" w:type="dxa"/>
          </w:tcPr>
          <w:p w:rsidR="00382134" w:rsidRDefault="004802C8" w:rsidP="00382134">
            <w:r>
              <w:t>ADF&amp;G Subsistence Presentation: Harvest Data</w:t>
            </w:r>
          </w:p>
        </w:tc>
        <w:tc>
          <w:tcPr>
            <w:tcW w:w="3117" w:type="dxa"/>
          </w:tcPr>
          <w:p w:rsidR="00382134" w:rsidRDefault="004802C8" w:rsidP="00382134">
            <w:r>
              <w:t xml:space="preserve">ADF&amp;G </w:t>
            </w:r>
            <w:r w:rsidR="005862B6">
              <w:t>Subsistence</w:t>
            </w:r>
          </w:p>
        </w:tc>
      </w:tr>
      <w:tr w:rsidR="00594EDD" w:rsidTr="00382134">
        <w:tc>
          <w:tcPr>
            <w:tcW w:w="1435" w:type="dxa"/>
          </w:tcPr>
          <w:p w:rsidR="00594EDD" w:rsidRDefault="004802C8" w:rsidP="00382134">
            <w:r>
              <w:t>3: 45 – 4:15</w:t>
            </w:r>
          </w:p>
        </w:tc>
        <w:tc>
          <w:tcPr>
            <w:tcW w:w="4798" w:type="dxa"/>
          </w:tcPr>
          <w:p w:rsidR="00594EDD" w:rsidRDefault="00225501" w:rsidP="00225501">
            <w:r>
              <w:t xml:space="preserve">Issue #2: </w:t>
            </w:r>
            <w:r>
              <w:t>Regional Approach discussion</w:t>
            </w:r>
          </w:p>
        </w:tc>
        <w:tc>
          <w:tcPr>
            <w:tcW w:w="3117" w:type="dxa"/>
          </w:tcPr>
          <w:p w:rsidR="00594EDD" w:rsidRDefault="004802C8" w:rsidP="00382134">
            <w:r>
              <w:t>DEC Staff: Brock Tabor</w:t>
            </w:r>
          </w:p>
        </w:tc>
      </w:tr>
      <w:tr w:rsidR="00594EDD" w:rsidTr="00382134">
        <w:tc>
          <w:tcPr>
            <w:tcW w:w="1435" w:type="dxa"/>
          </w:tcPr>
          <w:p w:rsidR="00594EDD" w:rsidRDefault="004802C8" w:rsidP="00382134">
            <w:r>
              <w:t>4:15 – 4:30</w:t>
            </w:r>
          </w:p>
        </w:tc>
        <w:tc>
          <w:tcPr>
            <w:tcW w:w="4798" w:type="dxa"/>
          </w:tcPr>
          <w:p w:rsidR="00594EDD" w:rsidRDefault="004802C8" w:rsidP="00382134">
            <w:r>
              <w:t>Public Comment and Closing</w:t>
            </w:r>
          </w:p>
        </w:tc>
        <w:tc>
          <w:tcPr>
            <w:tcW w:w="3117" w:type="dxa"/>
          </w:tcPr>
          <w:p w:rsidR="00594EDD" w:rsidRDefault="004802C8" w:rsidP="00382134">
            <w:r>
              <w:t>Michelle Hale. Div. Director</w:t>
            </w:r>
          </w:p>
        </w:tc>
      </w:tr>
    </w:tbl>
    <w:p w:rsidR="00382134" w:rsidRDefault="00382134" w:rsidP="00382134"/>
    <w:p w:rsidR="004802C8" w:rsidRPr="00F315AC" w:rsidRDefault="00F315AC" w:rsidP="00382134">
      <w:pPr>
        <w:rPr>
          <w:b/>
        </w:rPr>
      </w:pPr>
      <w:r w:rsidRPr="00F315AC">
        <w:rPr>
          <w:b/>
        </w:rPr>
        <w:t>Meeting Documents</w:t>
      </w:r>
    </w:p>
    <w:p w:rsidR="00F315AC" w:rsidRDefault="00F315AC" w:rsidP="00F315AC">
      <w:pPr>
        <w:pStyle w:val="ListParagraph"/>
        <w:numPr>
          <w:ilvl w:val="0"/>
          <w:numId w:val="3"/>
        </w:numPr>
      </w:pPr>
      <w:r>
        <w:t>Technical Workgroup Notebook</w:t>
      </w:r>
    </w:p>
    <w:p w:rsidR="00F315AC" w:rsidRDefault="00F315AC" w:rsidP="00F315AC">
      <w:pPr>
        <w:pStyle w:val="ListParagraph"/>
        <w:numPr>
          <w:ilvl w:val="1"/>
          <w:numId w:val="3"/>
        </w:numPr>
      </w:pPr>
      <w:r>
        <w:t xml:space="preserve">Methodology for Deriving Ambient Water Quality Criteria for the Protection of Human Health (2000): (NOTE THAT THIS DOCUMENT WILL NOT BE IN THE NOTEBOOK DUE TO SIZE OF DOCUMENT) </w:t>
      </w:r>
      <w:hyperlink r:id="rId7" w:history="1">
        <w:r>
          <w:rPr>
            <w:rStyle w:val="Hyperlink"/>
          </w:rPr>
          <w:t>http://water.epa.gov/scitech/swguidance/standards/upload/2005_05_06_criteria_humanhealth_method_complete.pdf</w:t>
        </w:r>
      </w:hyperlink>
    </w:p>
    <w:p w:rsidR="00F315AC" w:rsidRDefault="00F315AC" w:rsidP="00F315AC">
      <w:pPr>
        <w:pStyle w:val="ListParagraph"/>
        <w:numPr>
          <w:ilvl w:val="1"/>
          <w:numId w:val="3"/>
        </w:numPr>
      </w:pPr>
      <w:r>
        <w:t>EPA 2015 Criteria Fact Sheet</w:t>
      </w:r>
    </w:p>
    <w:p w:rsidR="00F315AC" w:rsidRDefault="00F315AC" w:rsidP="00F315AC">
      <w:pPr>
        <w:pStyle w:val="ListParagraph"/>
        <w:numPr>
          <w:ilvl w:val="1"/>
          <w:numId w:val="3"/>
        </w:numPr>
      </w:pPr>
      <w:r>
        <w:lastRenderedPageBreak/>
        <w:t>EPA 2015 Summary of input values</w:t>
      </w:r>
    </w:p>
    <w:p w:rsidR="00F315AC" w:rsidRDefault="00F315AC" w:rsidP="00F315AC">
      <w:pPr>
        <w:pStyle w:val="ListParagraph"/>
        <w:numPr>
          <w:ilvl w:val="1"/>
          <w:numId w:val="3"/>
        </w:numPr>
      </w:pPr>
      <w:r>
        <w:t>Alaska Human Health Criteria Fact Sheet</w:t>
      </w:r>
    </w:p>
    <w:p w:rsidR="00F315AC" w:rsidRDefault="00F315AC" w:rsidP="00F315AC">
      <w:pPr>
        <w:pStyle w:val="ListParagraph"/>
        <w:numPr>
          <w:ilvl w:val="1"/>
          <w:numId w:val="3"/>
        </w:numPr>
      </w:pPr>
      <w:r>
        <w:rPr>
          <w:rFonts w:ascii="Times New Roman" w:hAnsi="Times New Roman"/>
          <w:sz w:val="14"/>
          <w:szCs w:val="14"/>
        </w:rPr>
        <w:t xml:space="preserve"> </w:t>
      </w:r>
      <w:r>
        <w:t xml:space="preserve">Draft Literature Review of Fish Consumption Rate Research Conducted in the State of Alaska (March 2015) </w:t>
      </w:r>
    </w:p>
    <w:p w:rsidR="00F315AC" w:rsidRDefault="00F315AC" w:rsidP="00F315AC">
      <w:pPr>
        <w:pStyle w:val="ListParagraph"/>
        <w:numPr>
          <w:ilvl w:val="1"/>
          <w:numId w:val="3"/>
        </w:numPr>
      </w:pPr>
      <w:r>
        <w:t>Draft Independent External Peer Review Report (July 2015)</w:t>
      </w:r>
    </w:p>
    <w:p w:rsidR="00F315AC" w:rsidRDefault="00F315AC" w:rsidP="00F315AC">
      <w:pPr>
        <w:pStyle w:val="ListParagraph"/>
        <w:numPr>
          <w:ilvl w:val="1"/>
          <w:numId w:val="3"/>
        </w:numPr>
      </w:pPr>
      <w:r>
        <w:t xml:space="preserve">Wild Food Consumption Rate Estimates </w:t>
      </w:r>
      <w:proofErr w:type="gramStart"/>
      <w:r>
        <w:t>For</w:t>
      </w:r>
      <w:proofErr w:type="gramEnd"/>
      <w:r>
        <w:t xml:space="preserve"> Rural Alaska Populations. Robert J. Wolfe and Charles J. </w:t>
      </w:r>
      <w:proofErr w:type="spellStart"/>
      <w:r>
        <w:t>Utermohle</w:t>
      </w:r>
      <w:proofErr w:type="spellEnd"/>
      <w:r>
        <w:t xml:space="preserve">. AD&amp;G Technical Paper 261. June 2000. </w:t>
      </w:r>
    </w:p>
    <w:p w:rsidR="00F315AC" w:rsidRDefault="00F315AC" w:rsidP="00382134">
      <w:pPr>
        <w:rPr>
          <w:b/>
        </w:rPr>
      </w:pPr>
      <w:r w:rsidRPr="00F315AC">
        <w:rPr>
          <w:b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6"/>
        <w:gridCol w:w="3120"/>
      </w:tblGrid>
      <w:tr w:rsidR="00F315AC" w:rsidRPr="00947AAE" w:rsidTr="00427694">
        <w:tc>
          <w:tcPr>
            <w:tcW w:w="3192" w:type="dxa"/>
          </w:tcPr>
          <w:p w:rsidR="00F315AC" w:rsidRPr="00947AAE" w:rsidRDefault="00F315AC" w:rsidP="00427694">
            <w:pPr>
              <w:jc w:val="center"/>
              <w:rPr>
                <w:rFonts w:ascii="Garamond" w:hAnsi="Garamond"/>
                <w:b/>
              </w:rPr>
            </w:pPr>
            <w:r w:rsidRPr="00947AAE">
              <w:rPr>
                <w:rFonts w:ascii="Garamond" w:hAnsi="Garamond"/>
                <w:b/>
              </w:rPr>
              <w:t>Who</w:t>
            </w:r>
          </w:p>
        </w:tc>
        <w:tc>
          <w:tcPr>
            <w:tcW w:w="3192" w:type="dxa"/>
          </w:tcPr>
          <w:p w:rsidR="00F315AC" w:rsidRPr="00947AAE" w:rsidRDefault="00F315AC" w:rsidP="00427694">
            <w:pPr>
              <w:jc w:val="center"/>
              <w:rPr>
                <w:rFonts w:ascii="Garamond" w:hAnsi="Garamond"/>
                <w:b/>
              </w:rPr>
            </w:pPr>
            <w:r w:rsidRPr="00947AAE">
              <w:rPr>
                <w:rFonts w:ascii="Garamond" w:hAnsi="Garamond"/>
                <w:b/>
              </w:rPr>
              <w:t>Will do What</w:t>
            </w:r>
          </w:p>
        </w:tc>
        <w:tc>
          <w:tcPr>
            <w:tcW w:w="3192" w:type="dxa"/>
          </w:tcPr>
          <w:p w:rsidR="00F315AC" w:rsidRPr="00947AAE" w:rsidRDefault="00F315AC" w:rsidP="00427694">
            <w:pPr>
              <w:jc w:val="center"/>
              <w:rPr>
                <w:rFonts w:ascii="Garamond" w:hAnsi="Garamond"/>
                <w:b/>
              </w:rPr>
            </w:pPr>
            <w:r w:rsidRPr="00947AAE">
              <w:rPr>
                <w:rFonts w:ascii="Garamond" w:hAnsi="Garamond"/>
                <w:b/>
              </w:rPr>
              <w:t>By (Date)</w:t>
            </w:r>
          </w:p>
        </w:tc>
      </w:tr>
      <w:tr w:rsidR="00F315AC" w:rsidRPr="00947AAE" w:rsidTr="00427694">
        <w:trPr>
          <w:trHeight w:val="512"/>
        </w:trPr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</w:tr>
      <w:tr w:rsidR="00F315AC" w:rsidRPr="00947AAE" w:rsidTr="00427694">
        <w:trPr>
          <w:trHeight w:val="530"/>
        </w:trPr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</w:tr>
      <w:tr w:rsidR="00F315AC" w:rsidRPr="00947AAE" w:rsidTr="00427694">
        <w:trPr>
          <w:trHeight w:val="530"/>
        </w:trPr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</w:tr>
      <w:tr w:rsidR="00F315AC" w:rsidRPr="00947AAE" w:rsidTr="00427694">
        <w:trPr>
          <w:trHeight w:val="530"/>
        </w:trPr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F315AC" w:rsidRPr="00947AAE" w:rsidRDefault="00F315AC" w:rsidP="00427694">
            <w:pPr>
              <w:rPr>
                <w:rFonts w:ascii="Garamond" w:hAnsi="Garamond"/>
              </w:rPr>
            </w:pPr>
          </w:p>
        </w:tc>
      </w:tr>
    </w:tbl>
    <w:p w:rsidR="00F315AC" w:rsidRPr="00F315AC" w:rsidRDefault="00F315AC" w:rsidP="00382134">
      <w:pPr>
        <w:rPr>
          <w:b/>
        </w:rPr>
      </w:pPr>
    </w:p>
    <w:sectPr w:rsidR="00F315AC" w:rsidRPr="00F315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9A" w:rsidRDefault="0058619A" w:rsidP="0058619A">
      <w:pPr>
        <w:spacing w:after="0" w:line="240" w:lineRule="auto"/>
      </w:pPr>
      <w:r>
        <w:separator/>
      </w:r>
    </w:p>
  </w:endnote>
  <w:endnote w:type="continuationSeparator" w:id="0">
    <w:p w:rsidR="0058619A" w:rsidRDefault="0058619A" w:rsidP="0058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9A" w:rsidRDefault="0058619A" w:rsidP="0058619A">
      <w:pPr>
        <w:spacing w:after="0" w:line="240" w:lineRule="auto"/>
      </w:pPr>
      <w:r>
        <w:separator/>
      </w:r>
    </w:p>
  </w:footnote>
  <w:footnote w:type="continuationSeparator" w:id="0">
    <w:p w:rsidR="0058619A" w:rsidRDefault="0058619A" w:rsidP="0058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9A" w:rsidRPr="00342981" w:rsidRDefault="0058619A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 w:rsidRPr="00342981">
      <w:rPr>
        <w:rFonts w:ascii="Garamond" w:eastAsia="Times New Roman" w:hAnsi="Garamond" w:cs="Times New Roman"/>
        <w:b/>
        <w:sz w:val="24"/>
        <w:szCs w:val="24"/>
      </w:rPr>
      <w:t>Division of Water</w:t>
    </w:r>
  </w:p>
  <w:p w:rsidR="0058619A" w:rsidRPr="00AA290C" w:rsidRDefault="0058619A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>Human Health Criteria (HHC) Technical Workgroup Agenda</w:t>
    </w:r>
  </w:p>
  <w:p w:rsidR="0058619A" w:rsidRDefault="0058619A" w:rsidP="0058619A">
    <w:pPr>
      <w:pStyle w:val="Title"/>
      <w:jc w:val="center"/>
      <w:rPr>
        <w:rFonts w:ascii="Garamond" w:eastAsia="Times New Roman" w:hAnsi="Garamond" w:cs="Times New Roman"/>
        <w:b/>
        <w:i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>August 20.2015</w:t>
    </w:r>
    <w:r w:rsidRPr="001A5CB4">
      <w:rPr>
        <w:rFonts w:ascii="Garamond" w:eastAsia="Times New Roman" w:hAnsi="Garamond" w:cs="Times New Roman"/>
        <w:b/>
        <w:i/>
        <w:sz w:val="24"/>
        <w:szCs w:val="24"/>
      </w:rPr>
      <w:t xml:space="preserve"> </w:t>
    </w:r>
  </w:p>
  <w:p w:rsidR="0058619A" w:rsidRDefault="0058619A" w:rsidP="0058619A">
    <w:pPr>
      <w:pStyle w:val="Header"/>
    </w:pPr>
  </w:p>
  <w:p w:rsidR="0058619A" w:rsidRDefault="00586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06C15"/>
    <w:multiLevelType w:val="hybridMultilevel"/>
    <w:tmpl w:val="40E61F84"/>
    <w:lvl w:ilvl="0" w:tplc="599AC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8095A"/>
    <w:multiLevelType w:val="hybridMultilevel"/>
    <w:tmpl w:val="81922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0133A"/>
    <w:multiLevelType w:val="hybridMultilevel"/>
    <w:tmpl w:val="BB4CF6A2"/>
    <w:lvl w:ilvl="0" w:tplc="599AC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9A"/>
    <w:rsid w:val="00096000"/>
    <w:rsid w:val="00196C32"/>
    <w:rsid w:val="001C7CA6"/>
    <w:rsid w:val="00225501"/>
    <w:rsid w:val="00246E19"/>
    <w:rsid w:val="00277DEC"/>
    <w:rsid w:val="00382134"/>
    <w:rsid w:val="004802C8"/>
    <w:rsid w:val="0058619A"/>
    <w:rsid w:val="005862B6"/>
    <w:rsid w:val="00594EDD"/>
    <w:rsid w:val="00CD3912"/>
    <w:rsid w:val="00D06009"/>
    <w:rsid w:val="00D458A5"/>
    <w:rsid w:val="00D946E8"/>
    <w:rsid w:val="00F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E42ED-1BF0-4B0B-83CF-6DEB2FB4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19A"/>
  </w:style>
  <w:style w:type="paragraph" w:styleId="Footer">
    <w:name w:val="footer"/>
    <w:basedOn w:val="Normal"/>
    <w:link w:val="FooterChar"/>
    <w:uiPriority w:val="99"/>
    <w:unhideWhenUsed/>
    <w:rsid w:val="005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19A"/>
  </w:style>
  <w:style w:type="paragraph" w:styleId="Title">
    <w:name w:val="Title"/>
    <w:basedOn w:val="Normal"/>
    <w:next w:val="Normal"/>
    <w:link w:val="TitleChar"/>
    <w:uiPriority w:val="10"/>
    <w:qFormat/>
    <w:rsid w:val="005861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8619A"/>
    <w:pPr>
      <w:ind w:left="720"/>
      <w:contextualSpacing/>
    </w:pPr>
  </w:style>
  <w:style w:type="table" w:styleId="TableGrid">
    <w:name w:val="Table Grid"/>
    <w:basedOn w:val="TableNormal"/>
    <w:uiPriority w:val="59"/>
    <w:rsid w:val="0038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315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ater.epa.gov/scitech/swguidance/standards/upload/2005_05_06_criteria_humanhealth_method_comple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Tabor, Brock</dc:creator>
  <cp:keywords/>
  <dc:description/>
  <cp:lastModifiedBy>Tabor, Brock</cp:lastModifiedBy>
  <cp:revision>8</cp:revision>
  <dcterms:created xsi:type="dcterms:W3CDTF">2015-08-11T17:12:00Z</dcterms:created>
  <dcterms:modified xsi:type="dcterms:W3CDTF">2015-08-13T17:57:00Z</dcterms:modified>
</cp:coreProperties>
</file>