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00" w:rsidRPr="00CB3203" w:rsidRDefault="0058619A">
      <w:pPr>
        <w:rPr>
          <w:rFonts w:ascii="Garamond" w:hAnsi="Garamond"/>
          <w:sz w:val="24"/>
          <w:szCs w:val="24"/>
        </w:rPr>
      </w:pPr>
      <w:r w:rsidRPr="00CB3203">
        <w:rPr>
          <w:rFonts w:ascii="Garamond" w:hAnsi="Garamond"/>
          <w:b/>
          <w:sz w:val="24"/>
          <w:szCs w:val="24"/>
        </w:rPr>
        <w:t>Purpose</w:t>
      </w:r>
      <w:r w:rsidR="00D946E8" w:rsidRPr="00CB3203">
        <w:rPr>
          <w:rFonts w:ascii="Garamond" w:hAnsi="Garamond"/>
          <w:sz w:val="24"/>
          <w:szCs w:val="24"/>
        </w:rPr>
        <w:t xml:space="preserve"> The purpose of the technical workgroup is to review and provide feedback on key technical issues, identified by DEC, that affect how Alaska will develop human health criteria in State water quality standards.</w:t>
      </w:r>
    </w:p>
    <w:p w:rsidR="00F315AC" w:rsidRPr="00CB3203" w:rsidRDefault="001C7CA6">
      <w:pPr>
        <w:rPr>
          <w:rFonts w:ascii="Garamond" w:hAnsi="Garamond"/>
          <w:b/>
          <w:sz w:val="24"/>
          <w:szCs w:val="24"/>
        </w:rPr>
      </w:pPr>
      <w:r w:rsidRPr="00CB3203">
        <w:rPr>
          <w:rFonts w:ascii="Garamond" w:hAnsi="Garamond"/>
          <w:b/>
          <w:sz w:val="24"/>
          <w:szCs w:val="24"/>
        </w:rPr>
        <w:t xml:space="preserve">Workgroup </w:t>
      </w:r>
      <w:r w:rsidR="00F315AC" w:rsidRPr="00CB3203">
        <w:rPr>
          <w:rFonts w:ascii="Garamond" w:hAnsi="Garamond"/>
          <w:b/>
          <w:sz w:val="24"/>
          <w:szCs w:val="24"/>
        </w:rPr>
        <w:t xml:space="preserve">Participants: </w:t>
      </w:r>
    </w:p>
    <w:p w:rsidR="005C4004" w:rsidRDefault="00196C32">
      <w:pPr>
        <w:rPr>
          <w:rFonts w:ascii="Garamond" w:hAnsi="Garamond"/>
          <w:sz w:val="24"/>
          <w:szCs w:val="24"/>
        </w:rPr>
      </w:pPr>
      <w:r w:rsidRPr="00CB3203">
        <w:rPr>
          <w:rFonts w:ascii="Garamond" w:hAnsi="Garamond"/>
          <w:sz w:val="24"/>
          <w:szCs w:val="24"/>
        </w:rPr>
        <w:t xml:space="preserve">L. Duffy; </w:t>
      </w:r>
      <w:r w:rsidR="001C7CA6" w:rsidRPr="00CB3203">
        <w:rPr>
          <w:rFonts w:ascii="Garamond" w:hAnsi="Garamond"/>
          <w:sz w:val="24"/>
          <w:szCs w:val="24"/>
        </w:rPr>
        <w:t xml:space="preserve">J. Fall, </w:t>
      </w:r>
      <w:r w:rsidR="005C4004" w:rsidRPr="00CB3203">
        <w:rPr>
          <w:rFonts w:ascii="Garamond" w:hAnsi="Garamond"/>
          <w:sz w:val="24"/>
          <w:szCs w:val="24"/>
        </w:rPr>
        <w:t>B. Gerlach</w:t>
      </w:r>
      <w:r w:rsidR="005C4004">
        <w:rPr>
          <w:rFonts w:ascii="Garamond" w:hAnsi="Garamond"/>
          <w:sz w:val="24"/>
          <w:szCs w:val="24"/>
        </w:rPr>
        <w:t xml:space="preserve">; </w:t>
      </w:r>
      <w:r w:rsidRPr="00CB3203">
        <w:rPr>
          <w:rFonts w:ascii="Garamond" w:hAnsi="Garamond"/>
          <w:sz w:val="24"/>
          <w:szCs w:val="24"/>
        </w:rPr>
        <w:t>A. Hamade; B. Jokela; A. Kelley;</w:t>
      </w:r>
      <w:r w:rsidR="005C4004" w:rsidRPr="00CB3203">
        <w:rPr>
          <w:rFonts w:ascii="Garamond" w:hAnsi="Garamond"/>
          <w:sz w:val="24"/>
          <w:szCs w:val="24"/>
        </w:rPr>
        <w:t xml:space="preserve"> M. Opheim;</w:t>
      </w:r>
      <w:r w:rsidR="005C4004">
        <w:rPr>
          <w:rFonts w:ascii="Garamond" w:hAnsi="Garamond"/>
          <w:sz w:val="24"/>
          <w:szCs w:val="24"/>
        </w:rPr>
        <w:t xml:space="preserve"> </w:t>
      </w:r>
      <w:r w:rsidR="001C7CA6" w:rsidRPr="00CB3203">
        <w:rPr>
          <w:rFonts w:ascii="Garamond" w:hAnsi="Garamond"/>
          <w:sz w:val="24"/>
          <w:szCs w:val="24"/>
        </w:rPr>
        <w:t>N. Sonafrank</w:t>
      </w:r>
      <w:r w:rsidRPr="00CB3203">
        <w:rPr>
          <w:rFonts w:ascii="Garamond" w:hAnsi="Garamond"/>
          <w:sz w:val="24"/>
          <w:szCs w:val="24"/>
        </w:rPr>
        <w:t xml:space="preserve">; L. Verbrugge; </w:t>
      </w:r>
      <w:r w:rsidR="005C4004" w:rsidRPr="00CB3203">
        <w:rPr>
          <w:rFonts w:ascii="Garamond" w:hAnsi="Garamond"/>
          <w:sz w:val="24"/>
          <w:szCs w:val="24"/>
        </w:rPr>
        <w:t xml:space="preserve">T. Wu;  </w:t>
      </w:r>
      <w:r w:rsidRPr="00CB3203">
        <w:rPr>
          <w:rFonts w:ascii="Garamond" w:hAnsi="Garamond"/>
          <w:sz w:val="24"/>
          <w:szCs w:val="24"/>
        </w:rPr>
        <w:t>K. Zamzow</w:t>
      </w:r>
    </w:p>
    <w:p w:rsidR="00B55813" w:rsidRDefault="00B55813">
      <w:pPr>
        <w:rPr>
          <w:rFonts w:ascii="Garamond" w:hAnsi="Garamond"/>
          <w:sz w:val="24"/>
          <w:szCs w:val="24"/>
        </w:rPr>
      </w:pPr>
      <w:r>
        <w:rPr>
          <w:rFonts w:ascii="Garamond" w:hAnsi="Garamond"/>
          <w:b/>
          <w:sz w:val="24"/>
          <w:szCs w:val="24"/>
        </w:rPr>
        <w:t>Technical Advisor</w:t>
      </w:r>
      <w:r w:rsidR="000707CF">
        <w:rPr>
          <w:rFonts w:ascii="Garamond" w:hAnsi="Garamond"/>
          <w:b/>
          <w:sz w:val="24"/>
          <w:szCs w:val="24"/>
        </w:rPr>
        <w:t>s</w:t>
      </w:r>
      <w:r w:rsidRPr="00B55813">
        <w:rPr>
          <w:rFonts w:ascii="Garamond" w:hAnsi="Garamond"/>
          <w:b/>
          <w:sz w:val="24"/>
          <w:szCs w:val="24"/>
        </w:rPr>
        <w:t>:</w:t>
      </w:r>
      <w:r>
        <w:rPr>
          <w:rFonts w:ascii="Garamond" w:hAnsi="Garamond"/>
          <w:sz w:val="24"/>
          <w:szCs w:val="24"/>
        </w:rPr>
        <w:t xml:space="preserve"> </w:t>
      </w:r>
      <w:r w:rsidRPr="00CB3203">
        <w:rPr>
          <w:rFonts w:ascii="Garamond" w:hAnsi="Garamond"/>
          <w:sz w:val="24"/>
          <w:szCs w:val="24"/>
        </w:rPr>
        <w:t>L. Kissinger</w:t>
      </w:r>
      <w:r w:rsidR="00F27215">
        <w:rPr>
          <w:rFonts w:ascii="Garamond" w:hAnsi="Garamond"/>
          <w:sz w:val="24"/>
          <w:szCs w:val="24"/>
        </w:rPr>
        <w:t xml:space="preserve"> </w:t>
      </w:r>
      <w:r w:rsidR="000707CF">
        <w:rPr>
          <w:rFonts w:ascii="Garamond" w:hAnsi="Garamond"/>
          <w:sz w:val="24"/>
          <w:szCs w:val="24"/>
        </w:rPr>
        <w:t>(EPA)</w:t>
      </w:r>
    </w:p>
    <w:p w:rsidR="0058619A" w:rsidRPr="005C4004" w:rsidRDefault="00F315AC">
      <w:pPr>
        <w:rPr>
          <w:rFonts w:ascii="Garamond" w:hAnsi="Garamond"/>
          <w:sz w:val="24"/>
          <w:szCs w:val="24"/>
        </w:rPr>
      </w:pPr>
      <w:r w:rsidRPr="00CB3203">
        <w:rPr>
          <w:rFonts w:ascii="Garamond" w:hAnsi="Garamond"/>
          <w:b/>
          <w:sz w:val="24"/>
          <w:szCs w:val="24"/>
        </w:rPr>
        <w:t>Expected Meeting Outcome(s)</w:t>
      </w:r>
      <w:r w:rsidR="0058619A" w:rsidRPr="00CB3203">
        <w:rPr>
          <w:rFonts w:ascii="Garamond" w:hAnsi="Garamond"/>
          <w:b/>
          <w:sz w:val="24"/>
          <w:szCs w:val="24"/>
        </w:rPr>
        <w:t xml:space="preserve">: </w:t>
      </w:r>
    </w:p>
    <w:p w:rsidR="00234C5E" w:rsidRPr="00234C5E" w:rsidRDefault="00144A9F" w:rsidP="006606F6">
      <w:pPr>
        <w:pStyle w:val="ListParagraph"/>
        <w:numPr>
          <w:ilvl w:val="0"/>
          <w:numId w:val="1"/>
        </w:numPr>
        <w:rPr>
          <w:rFonts w:ascii="Garamond" w:hAnsi="Garamond"/>
          <w:b/>
          <w:sz w:val="24"/>
          <w:szCs w:val="24"/>
        </w:rPr>
      </w:pPr>
      <w:r w:rsidRPr="00234C5E">
        <w:rPr>
          <w:rFonts w:ascii="Garamond" w:hAnsi="Garamond"/>
          <w:sz w:val="24"/>
          <w:szCs w:val="24"/>
        </w:rPr>
        <w:t>Address questions from</w:t>
      </w:r>
      <w:r w:rsidR="00382134" w:rsidRPr="00234C5E">
        <w:rPr>
          <w:rFonts w:ascii="Garamond" w:hAnsi="Garamond"/>
          <w:sz w:val="24"/>
          <w:szCs w:val="24"/>
        </w:rPr>
        <w:t xml:space="preserve"> the Technical Workgroup </w:t>
      </w:r>
      <w:r w:rsidRPr="00234C5E">
        <w:rPr>
          <w:rFonts w:ascii="Garamond" w:hAnsi="Garamond"/>
          <w:sz w:val="24"/>
          <w:szCs w:val="24"/>
        </w:rPr>
        <w:t xml:space="preserve">associated with the format of the Workgroup Report </w:t>
      </w:r>
      <w:r w:rsidR="00234C5E" w:rsidRPr="00234C5E">
        <w:rPr>
          <w:rFonts w:ascii="Garamond" w:hAnsi="Garamond"/>
          <w:sz w:val="24"/>
          <w:szCs w:val="24"/>
        </w:rPr>
        <w:t xml:space="preserve">(draft 11-12-15) </w:t>
      </w:r>
      <w:r w:rsidRPr="00234C5E">
        <w:rPr>
          <w:rFonts w:ascii="Garamond" w:hAnsi="Garamond"/>
          <w:sz w:val="24"/>
          <w:szCs w:val="24"/>
        </w:rPr>
        <w:t>and language to date</w:t>
      </w:r>
      <w:r w:rsidR="00234C5E" w:rsidRPr="00234C5E">
        <w:rPr>
          <w:rFonts w:ascii="Garamond" w:hAnsi="Garamond"/>
          <w:sz w:val="24"/>
          <w:szCs w:val="24"/>
        </w:rPr>
        <w:t xml:space="preserve"> </w:t>
      </w:r>
    </w:p>
    <w:p w:rsidR="00382134" w:rsidRPr="00234C5E" w:rsidRDefault="00F2096D" w:rsidP="006606F6">
      <w:pPr>
        <w:pStyle w:val="ListParagraph"/>
        <w:numPr>
          <w:ilvl w:val="0"/>
          <w:numId w:val="1"/>
        </w:numPr>
        <w:rPr>
          <w:rFonts w:ascii="Garamond" w:hAnsi="Garamond"/>
          <w:b/>
          <w:sz w:val="24"/>
          <w:szCs w:val="24"/>
        </w:rPr>
      </w:pPr>
      <w:r w:rsidRPr="00234C5E">
        <w:rPr>
          <w:rFonts w:ascii="Garamond" w:hAnsi="Garamond"/>
          <w:sz w:val="24"/>
          <w:szCs w:val="24"/>
        </w:rPr>
        <w:t>Discuss key technical issues associated with</w:t>
      </w:r>
      <w:r w:rsidR="00AD78DE" w:rsidRPr="00234C5E">
        <w:rPr>
          <w:rFonts w:ascii="Garamond" w:hAnsi="Garamond"/>
          <w:sz w:val="24"/>
          <w:szCs w:val="24"/>
        </w:rPr>
        <w:t xml:space="preserve"> </w:t>
      </w:r>
      <w:r w:rsidR="00144A9F" w:rsidRPr="00234C5E">
        <w:rPr>
          <w:rFonts w:ascii="Garamond" w:hAnsi="Garamond"/>
          <w:sz w:val="24"/>
          <w:szCs w:val="24"/>
        </w:rPr>
        <w:t xml:space="preserve">application </w:t>
      </w:r>
      <w:r w:rsidR="00B84C9F" w:rsidRPr="00234C5E">
        <w:rPr>
          <w:rFonts w:ascii="Garamond" w:hAnsi="Garamond"/>
          <w:sz w:val="24"/>
          <w:szCs w:val="24"/>
        </w:rPr>
        <w:t xml:space="preserve">of HHC at </w:t>
      </w:r>
      <w:r w:rsidR="007D192B" w:rsidRPr="00234C5E">
        <w:rPr>
          <w:rFonts w:ascii="Garamond" w:hAnsi="Garamond"/>
          <w:sz w:val="24"/>
          <w:szCs w:val="24"/>
        </w:rPr>
        <w:t>a statewide, regional or site specific scale</w:t>
      </w:r>
    </w:p>
    <w:p w:rsidR="00234C5E" w:rsidRPr="00234C5E" w:rsidRDefault="00382134" w:rsidP="00234C5E">
      <w:pPr>
        <w:pStyle w:val="ListParagraph"/>
        <w:numPr>
          <w:ilvl w:val="0"/>
          <w:numId w:val="1"/>
        </w:numPr>
        <w:rPr>
          <w:rFonts w:ascii="Garamond" w:hAnsi="Garamond"/>
          <w:b/>
          <w:sz w:val="24"/>
          <w:szCs w:val="24"/>
        </w:rPr>
      </w:pPr>
      <w:r w:rsidRPr="00CB3203">
        <w:rPr>
          <w:rFonts w:ascii="Garamond" w:hAnsi="Garamond"/>
          <w:sz w:val="24"/>
          <w:szCs w:val="24"/>
        </w:rPr>
        <w:t>Provide a “platform” of common knowledge for future meetings on this issue.</w:t>
      </w:r>
      <w:bookmarkStart w:id="0" w:name="_GoBack"/>
      <w:bookmarkEnd w:id="0"/>
    </w:p>
    <w:p w:rsidR="00382134" w:rsidRPr="00CB3203" w:rsidRDefault="00382134" w:rsidP="00382134">
      <w:pPr>
        <w:rPr>
          <w:rFonts w:ascii="Garamond" w:hAnsi="Garamond"/>
          <w:b/>
          <w:sz w:val="24"/>
          <w:szCs w:val="24"/>
        </w:rPr>
      </w:pPr>
      <w:r w:rsidRPr="00CB3203">
        <w:rPr>
          <w:rFonts w:ascii="Garamond" w:hAnsi="Garamond"/>
          <w:b/>
          <w:sz w:val="24"/>
          <w:szCs w:val="24"/>
        </w:rPr>
        <w:t>Agenda</w:t>
      </w:r>
    </w:p>
    <w:p w:rsidR="007D192B" w:rsidRDefault="007D192B" w:rsidP="008C5850">
      <w:pPr>
        <w:pStyle w:val="ListParagraph"/>
        <w:numPr>
          <w:ilvl w:val="0"/>
          <w:numId w:val="4"/>
        </w:numPr>
        <w:rPr>
          <w:rFonts w:ascii="Garamond" w:hAnsi="Garamond"/>
          <w:sz w:val="24"/>
          <w:szCs w:val="24"/>
        </w:rPr>
      </w:pPr>
      <w:r>
        <w:rPr>
          <w:rFonts w:ascii="Garamond" w:hAnsi="Garamond"/>
          <w:sz w:val="24"/>
          <w:szCs w:val="24"/>
        </w:rPr>
        <w:t xml:space="preserve">Recap of </w:t>
      </w:r>
      <w:r w:rsidR="008C5850" w:rsidRPr="008C5850">
        <w:rPr>
          <w:rFonts w:ascii="Garamond" w:hAnsi="Garamond"/>
          <w:sz w:val="24"/>
          <w:szCs w:val="24"/>
        </w:rPr>
        <w:t>Issue 3: What is the appropriate level of protection for Alaskans?</w:t>
      </w:r>
    </w:p>
    <w:p w:rsidR="007D192B" w:rsidRDefault="00B55813" w:rsidP="007D192B">
      <w:pPr>
        <w:pStyle w:val="ListParagraph"/>
        <w:numPr>
          <w:ilvl w:val="0"/>
          <w:numId w:val="4"/>
        </w:numPr>
        <w:rPr>
          <w:rFonts w:ascii="Garamond" w:hAnsi="Garamond"/>
          <w:sz w:val="24"/>
          <w:szCs w:val="24"/>
        </w:rPr>
      </w:pPr>
      <w:r w:rsidRPr="007D192B">
        <w:rPr>
          <w:rFonts w:ascii="Garamond" w:hAnsi="Garamond"/>
          <w:sz w:val="24"/>
          <w:szCs w:val="24"/>
        </w:rPr>
        <w:t xml:space="preserve">Introduce Issue </w:t>
      </w:r>
      <w:r w:rsidR="007D192B" w:rsidRPr="007D192B">
        <w:rPr>
          <w:rFonts w:ascii="Garamond" w:hAnsi="Garamond"/>
          <w:sz w:val="24"/>
          <w:szCs w:val="24"/>
        </w:rPr>
        <w:t>2</w:t>
      </w:r>
      <w:r w:rsidR="00B84C9F" w:rsidRPr="007D192B">
        <w:rPr>
          <w:rFonts w:ascii="Garamond" w:hAnsi="Garamond"/>
          <w:sz w:val="24"/>
          <w:szCs w:val="24"/>
        </w:rPr>
        <w:t xml:space="preserve">: </w:t>
      </w:r>
      <w:r w:rsidR="007D192B" w:rsidRPr="007D192B">
        <w:rPr>
          <w:rFonts w:ascii="Garamond" w:hAnsi="Garamond"/>
          <w:sz w:val="24"/>
          <w:szCs w:val="24"/>
        </w:rPr>
        <w:t xml:space="preserve">What options does Alaska have for developing criteria on a statewide/regional/site-specific basis? </w:t>
      </w:r>
    </w:p>
    <w:p w:rsidR="00B84C9F" w:rsidRPr="007D192B" w:rsidRDefault="007D192B" w:rsidP="007D192B">
      <w:pPr>
        <w:pStyle w:val="ListParagraph"/>
        <w:numPr>
          <w:ilvl w:val="0"/>
          <w:numId w:val="4"/>
        </w:numPr>
        <w:rPr>
          <w:rFonts w:ascii="Garamond" w:hAnsi="Garamond"/>
          <w:sz w:val="24"/>
          <w:szCs w:val="24"/>
        </w:rPr>
      </w:pPr>
      <w:r>
        <w:rPr>
          <w:rFonts w:ascii="Garamond" w:hAnsi="Garamond"/>
          <w:sz w:val="24"/>
          <w:szCs w:val="24"/>
        </w:rPr>
        <w:t xml:space="preserve">HHC Issue </w:t>
      </w:r>
      <w:r w:rsidR="00B84C9F" w:rsidRPr="007D192B">
        <w:rPr>
          <w:rFonts w:ascii="Garamond" w:hAnsi="Garamond"/>
          <w:sz w:val="24"/>
          <w:szCs w:val="24"/>
        </w:rPr>
        <w:t xml:space="preserve">Gap </w:t>
      </w:r>
      <w:r>
        <w:rPr>
          <w:rFonts w:ascii="Garamond" w:hAnsi="Garamond"/>
          <w:sz w:val="24"/>
          <w:szCs w:val="24"/>
        </w:rPr>
        <w:t>Inventory</w:t>
      </w:r>
      <w:r w:rsidR="004B5BE1">
        <w:rPr>
          <w:rFonts w:ascii="Garamond" w:hAnsi="Garamond"/>
          <w:sz w:val="24"/>
          <w:szCs w:val="24"/>
        </w:rPr>
        <w:t xml:space="preserve"> – needs workgroup member comments</w:t>
      </w:r>
    </w:p>
    <w:p w:rsidR="00B84C9F" w:rsidRPr="00BF5379" w:rsidRDefault="00B84C9F" w:rsidP="00AD78DE">
      <w:pPr>
        <w:pStyle w:val="ListParagraph"/>
        <w:numPr>
          <w:ilvl w:val="0"/>
          <w:numId w:val="4"/>
        </w:numPr>
        <w:rPr>
          <w:rFonts w:ascii="Garamond" w:hAnsi="Garamond"/>
          <w:sz w:val="24"/>
          <w:szCs w:val="24"/>
        </w:rPr>
      </w:pPr>
      <w:r>
        <w:rPr>
          <w:rFonts w:ascii="Garamond" w:hAnsi="Garamond"/>
          <w:sz w:val="24"/>
          <w:szCs w:val="24"/>
        </w:rPr>
        <w:t xml:space="preserve">Summer </w:t>
      </w:r>
      <w:r w:rsidR="007D192B">
        <w:rPr>
          <w:rFonts w:ascii="Garamond" w:hAnsi="Garamond"/>
          <w:sz w:val="24"/>
          <w:szCs w:val="24"/>
        </w:rPr>
        <w:t>Break</w:t>
      </w:r>
      <w:r>
        <w:rPr>
          <w:rFonts w:ascii="Garamond" w:hAnsi="Garamond"/>
          <w:sz w:val="24"/>
          <w:szCs w:val="24"/>
        </w:rPr>
        <w:t xml:space="preserve"> and Next Steps</w:t>
      </w:r>
    </w:p>
    <w:p w:rsidR="00BE7D11" w:rsidRPr="00CB3203" w:rsidRDefault="00BE7D11" w:rsidP="00BE7D11">
      <w:pPr>
        <w:pStyle w:val="ListParagraph"/>
        <w:numPr>
          <w:ilvl w:val="0"/>
          <w:numId w:val="4"/>
        </w:numPr>
        <w:rPr>
          <w:rFonts w:ascii="Garamond" w:hAnsi="Garamond"/>
          <w:b/>
          <w:sz w:val="24"/>
          <w:szCs w:val="24"/>
        </w:rPr>
      </w:pPr>
      <w:r>
        <w:rPr>
          <w:rFonts w:ascii="Garamond" w:hAnsi="Garamond"/>
          <w:sz w:val="24"/>
          <w:szCs w:val="24"/>
        </w:rPr>
        <w:t>Public Comment</w:t>
      </w:r>
    </w:p>
    <w:p w:rsidR="004802C8" w:rsidRPr="00CB3203" w:rsidRDefault="00F315AC" w:rsidP="00382134">
      <w:pPr>
        <w:rPr>
          <w:rFonts w:ascii="Garamond" w:hAnsi="Garamond"/>
          <w:b/>
          <w:sz w:val="24"/>
          <w:szCs w:val="24"/>
        </w:rPr>
      </w:pPr>
      <w:r w:rsidRPr="00CB3203">
        <w:rPr>
          <w:rFonts w:ascii="Garamond" w:hAnsi="Garamond"/>
          <w:b/>
          <w:sz w:val="24"/>
          <w:szCs w:val="24"/>
        </w:rPr>
        <w:t>Meeting Documents</w:t>
      </w:r>
    </w:p>
    <w:p w:rsidR="00F315AC" w:rsidRPr="00CB3203" w:rsidRDefault="00F315AC" w:rsidP="00F315AC">
      <w:pPr>
        <w:pStyle w:val="ListParagraph"/>
        <w:numPr>
          <w:ilvl w:val="0"/>
          <w:numId w:val="3"/>
        </w:numPr>
        <w:rPr>
          <w:rFonts w:ascii="Garamond" w:hAnsi="Garamond"/>
          <w:sz w:val="24"/>
          <w:szCs w:val="24"/>
        </w:rPr>
      </w:pPr>
      <w:r w:rsidRPr="00CB3203">
        <w:rPr>
          <w:rFonts w:ascii="Garamond" w:hAnsi="Garamond"/>
          <w:sz w:val="24"/>
          <w:szCs w:val="24"/>
        </w:rPr>
        <w:t>Technical Workgroup Notebook</w:t>
      </w:r>
    </w:p>
    <w:p w:rsidR="00F315AC" w:rsidRPr="00CB3203" w:rsidRDefault="00AD78DE" w:rsidP="00F315AC">
      <w:pPr>
        <w:pStyle w:val="ListParagraph"/>
        <w:numPr>
          <w:ilvl w:val="1"/>
          <w:numId w:val="3"/>
        </w:numPr>
        <w:rPr>
          <w:rFonts w:ascii="Garamond" w:hAnsi="Garamond"/>
          <w:sz w:val="24"/>
          <w:szCs w:val="24"/>
        </w:rPr>
      </w:pPr>
      <w:r w:rsidRPr="00CB3203">
        <w:rPr>
          <w:rFonts w:ascii="Garamond" w:hAnsi="Garamond"/>
          <w:sz w:val="24"/>
          <w:szCs w:val="24"/>
        </w:rPr>
        <w:t xml:space="preserve">Chapter 4: </w:t>
      </w:r>
      <w:r w:rsidR="00F315AC" w:rsidRPr="00CB3203">
        <w:rPr>
          <w:rFonts w:ascii="Garamond" w:hAnsi="Garamond"/>
          <w:sz w:val="24"/>
          <w:szCs w:val="24"/>
        </w:rPr>
        <w:t xml:space="preserve">Methodology for Deriving Ambient Water Quality Criteria for the Protection of Human Health (2000): (NOTE THAT THIS DOCUMENT WILL NOT BE IN THE NOTEBOOK DUE TO SIZE OF DOCUMENT) </w:t>
      </w:r>
      <w:hyperlink r:id="rId7" w:history="1">
        <w:r w:rsidR="00F315AC" w:rsidRPr="00CB3203">
          <w:rPr>
            <w:rStyle w:val="Hyperlink"/>
            <w:rFonts w:ascii="Garamond" w:hAnsi="Garamond"/>
            <w:sz w:val="24"/>
            <w:szCs w:val="24"/>
          </w:rPr>
          <w:t>http://water.epa.gov/scitech/swguidance/standards/upload/2005_05_06_criteria_humanhealth_method_complete.pdf</w:t>
        </w:r>
      </w:hyperlink>
    </w:p>
    <w:p w:rsidR="00BB7D1E" w:rsidRDefault="00CE7E50" w:rsidP="00F315AC">
      <w:pPr>
        <w:pStyle w:val="ListParagraph"/>
        <w:numPr>
          <w:ilvl w:val="1"/>
          <w:numId w:val="3"/>
        </w:numPr>
        <w:rPr>
          <w:rFonts w:ascii="Garamond" w:hAnsi="Garamond"/>
          <w:sz w:val="24"/>
          <w:szCs w:val="24"/>
        </w:rPr>
      </w:pPr>
      <w:r>
        <w:rPr>
          <w:rFonts w:ascii="Garamond" w:hAnsi="Garamond"/>
          <w:sz w:val="24"/>
          <w:szCs w:val="24"/>
        </w:rPr>
        <w:t>IDM publication</w:t>
      </w:r>
    </w:p>
    <w:p w:rsidR="00CE7E50" w:rsidRPr="00CB3203" w:rsidRDefault="00CE7E50" w:rsidP="00F315AC">
      <w:pPr>
        <w:pStyle w:val="ListParagraph"/>
        <w:numPr>
          <w:ilvl w:val="1"/>
          <w:numId w:val="3"/>
        </w:numPr>
        <w:rPr>
          <w:rFonts w:ascii="Garamond" w:hAnsi="Garamond"/>
          <w:sz w:val="24"/>
          <w:szCs w:val="24"/>
        </w:rPr>
      </w:pPr>
      <w:r>
        <w:rPr>
          <w:rFonts w:ascii="Garamond" w:hAnsi="Garamond"/>
          <w:sz w:val="24"/>
          <w:szCs w:val="24"/>
        </w:rPr>
        <w:t>DEC Poster Abstract</w:t>
      </w:r>
    </w:p>
    <w:p w:rsidR="00F315AC" w:rsidRPr="00CB3203" w:rsidRDefault="00F315AC" w:rsidP="00382134">
      <w:pPr>
        <w:rPr>
          <w:rFonts w:ascii="Garamond" w:hAnsi="Garamond"/>
          <w:b/>
          <w:sz w:val="24"/>
          <w:szCs w:val="24"/>
        </w:rPr>
      </w:pPr>
      <w:r w:rsidRPr="00CB3203">
        <w:rPr>
          <w:rFonts w:ascii="Garamond" w:hAnsi="Garamond"/>
          <w:b/>
          <w:sz w:val="24"/>
          <w:szCs w:val="24"/>
        </w:rPr>
        <w:t>Action Plan</w:t>
      </w:r>
    </w:p>
    <w:tbl>
      <w:tblPr>
        <w:tblStyle w:val="TableGrid"/>
        <w:tblW w:w="0" w:type="auto"/>
        <w:tblLook w:val="04A0" w:firstRow="1" w:lastRow="0" w:firstColumn="1" w:lastColumn="0" w:noHBand="0" w:noVBand="1"/>
      </w:tblPr>
      <w:tblGrid>
        <w:gridCol w:w="3114"/>
        <w:gridCol w:w="3116"/>
        <w:gridCol w:w="3120"/>
      </w:tblGrid>
      <w:tr w:rsidR="00F315AC" w:rsidRPr="00CB3203" w:rsidTr="00051190">
        <w:tc>
          <w:tcPr>
            <w:tcW w:w="3114"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Who</w:t>
            </w:r>
          </w:p>
        </w:tc>
        <w:tc>
          <w:tcPr>
            <w:tcW w:w="3116"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Will do What</w:t>
            </w:r>
          </w:p>
        </w:tc>
        <w:tc>
          <w:tcPr>
            <w:tcW w:w="3120"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By (Date)</w:t>
            </w:r>
          </w:p>
        </w:tc>
      </w:tr>
      <w:tr w:rsidR="00F315AC" w:rsidRPr="00CB3203" w:rsidTr="00051190">
        <w:trPr>
          <w:trHeight w:val="512"/>
        </w:trPr>
        <w:tc>
          <w:tcPr>
            <w:tcW w:w="3114" w:type="dxa"/>
          </w:tcPr>
          <w:p w:rsidR="00F315AC" w:rsidRPr="00CB3203" w:rsidRDefault="00F315AC" w:rsidP="00427694">
            <w:pPr>
              <w:rPr>
                <w:rFonts w:ascii="Garamond" w:hAnsi="Garamond"/>
                <w:sz w:val="24"/>
                <w:szCs w:val="24"/>
              </w:rPr>
            </w:pPr>
          </w:p>
        </w:tc>
        <w:tc>
          <w:tcPr>
            <w:tcW w:w="3116" w:type="dxa"/>
          </w:tcPr>
          <w:p w:rsidR="00F315AC" w:rsidRPr="00CB3203" w:rsidRDefault="00F315AC" w:rsidP="00427694">
            <w:pPr>
              <w:rPr>
                <w:rFonts w:ascii="Garamond" w:hAnsi="Garamond"/>
                <w:sz w:val="24"/>
                <w:szCs w:val="24"/>
              </w:rPr>
            </w:pPr>
          </w:p>
        </w:tc>
        <w:tc>
          <w:tcPr>
            <w:tcW w:w="3120" w:type="dxa"/>
          </w:tcPr>
          <w:p w:rsidR="00F315AC" w:rsidRPr="00CB3203" w:rsidRDefault="00F315AC" w:rsidP="00427694">
            <w:pPr>
              <w:rPr>
                <w:rFonts w:ascii="Garamond" w:hAnsi="Garamond"/>
                <w:sz w:val="24"/>
                <w:szCs w:val="24"/>
              </w:rPr>
            </w:pPr>
          </w:p>
        </w:tc>
      </w:tr>
      <w:tr w:rsidR="00F315AC" w:rsidRPr="00CB3203" w:rsidTr="00051190">
        <w:trPr>
          <w:trHeight w:val="530"/>
        </w:trPr>
        <w:tc>
          <w:tcPr>
            <w:tcW w:w="3114" w:type="dxa"/>
          </w:tcPr>
          <w:p w:rsidR="00F315AC" w:rsidRPr="00CB3203" w:rsidRDefault="00F315AC" w:rsidP="00427694">
            <w:pPr>
              <w:rPr>
                <w:rFonts w:ascii="Garamond" w:hAnsi="Garamond"/>
                <w:sz w:val="24"/>
                <w:szCs w:val="24"/>
              </w:rPr>
            </w:pPr>
          </w:p>
        </w:tc>
        <w:tc>
          <w:tcPr>
            <w:tcW w:w="3116" w:type="dxa"/>
          </w:tcPr>
          <w:p w:rsidR="00F315AC" w:rsidRPr="00CB3203" w:rsidRDefault="00F315AC" w:rsidP="00427694">
            <w:pPr>
              <w:rPr>
                <w:rFonts w:ascii="Garamond" w:hAnsi="Garamond"/>
                <w:sz w:val="24"/>
                <w:szCs w:val="24"/>
              </w:rPr>
            </w:pPr>
          </w:p>
        </w:tc>
        <w:tc>
          <w:tcPr>
            <w:tcW w:w="3120" w:type="dxa"/>
          </w:tcPr>
          <w:p w:rsidR="00F315AC" w:rsidRPr="00CB3203" w:rsidRDefault="00F315AC" w:rsidP="00427694">
            <w:pPr>
              <w:rPr>
                <w:rFonts w:ascii="Garamond" w:hAnsi="Garamond"/>
                <w:sz w:val="24"/>
                <w:szCs w:val="24"/>
              </w:rPr>
            </w:pPr>
          </w:p>
        </w:tc>
      </w:tr>
      <w:tr w:rsidR="00F315AC" w:rsidRPr="00CB3203" w:rsidTr="00051190">
        <w:trPr>
          <w:trHeight w:val="530"/>
        </w:trPr>
        <w:tc>
          <w:tcPr>
            <w:tcW w:w="3114" w:type="dxa"/>
          </w:tcPr>
          <w:p w:rsidR="00F315AC" w:rsidRPr="00CB3203" w:rsidRDefault="00F315AC" w:rsidP="00427694">
            <w:pPr>
              <w:rPr>
                <w:rFonts w:ascii="Garamond" w:hAnsi="Garamond"/>
                <w:sz w:val="24"/>
                <w:szCs w:val="24"/>
              </w:rPr>
            </w:pPr>
          </w:p>
        </w:tc>
        <w:tc>
          <w:tcPr>
            <w:tcW w:w="3116" w:type="dxa"/>
          </w:tcPr>
          <w:p w:rsidR="00F315AC" w:rsidRPr="00CB3203" w:rsidRDefault="00F315AC" w:rsidP="00427694">
            <w:pPr>
              <w:rPr>
                <w:rFonts w:ascii="Garamond" w:hAnsi="Garamond"/>
                <w:sz w:val="24"/>
                <w:szCs w:val="24"/>
              </w:rPr>
            </w:pPr>
          </w:p>
        </w:tc>
        <w:tc>
          <w:tcPr>
            <w:tcW w:w="3120" w:type="dxa"/>
          </w:tcPr>
          <w:p w:rsidR="00F315AC" w:rsidRPr="00CB3203" w:rsidRDefault="00F315AC" w:rsidP="00427694">
            <w:pPr>
              <w:rPr>
                <w:rFonts w:ascii="Garamond" w:hAnsi="Garamond"/>
                <w:sz w:val="24"/>
                <w:szCs w:val="24"/>
              </w:rPr>
            </w:pPr>
          </w:p>
        </w:tc>
      </w:tr>
    </w:tbl>
    <w:p w:rsidR="00F315AC" w:rsidRPr="00CB3203" w:rsidRDefault="00F315AC" w:rsidP="00051190">
      <w:pPr>
        <w:rPr>
          <w:rFonts w:ascii="Garamond" w:hAnsi="Garamond"/>
          <w:b/>
          <w:sz w:val="24"/>
          <w:szCs w:val="24"/>
        </w:rPr>
      </w:pPr>
    </w:p>
    <w:sectPr w:rsidR="00F315AC" w:rsidRPr="00CB3203" w:rsidSect="00051190">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9A" w:rsidRDefault="0058619A" w:rsidP="0058619A">
      <w:pPr>
        <w:spacing w:after="0" w:line="240" w:lineRule="auto"/>
      </w:pPr>
      <w:r>
        <w:separator/>
      </w:r>
    </w:p>
  </w:endnote>
  <w:endnote w:type="continuationSeparator" w:id="0">
    <w:p w:rsidR="0058619A" w:rsidRDefault="0058619A" w:rsidP="0058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9A" w:rsidRDefault="0058619A" w:rsidP="0058619A">
      <w:pPr>
        <w:spacing w:after="0" w:line="240" w:lineRule="auto"/>
      </w:pPr>
      <w:r>
        <w:separator/>
      </w:r>
    </w:p>
  </w:footnote>
  <w:footnote w:type="continuationSeparator" w:id="0">
    <w:p w:rsidR="0058619A" w:rsidRDefault="0058619A" w:rsidP="0058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9A" w:rsidRPr="00342981" w:rsidRDefault="0058619A" w:rsidP="0058619A">
    <w:pPr>
      <w:spacing w:after="0" w:line="240" w:lineRule="auto"/>
      <w:jc w:val="center"/>
      <w:rPr>
        <w:rFonts w:ascii="Garamond" w:eastAsia="Times New Roman" w:hAnsi="Garamond" w:cs="Times New Roman"/>
        <w:b/>
        <w:sz w:val="24"/>
        <w:szCs w:val="24"/>
      </w:rPr>
    </w:pPr>
    <w:r w:rsidRPr="00342981">
      <w:rPr>
        <w:rFonts w:ascii="Garamond" w:eastAsia="Times New Roman" w:hAnsi="Garamond" w:cs="Times New Roman"/>
        <w:b/>
        <w:sz w:val="24"/>
        <w:szCs w:val="24"/>
      </w:rPr>
      <w:t>Division of Water</w:t>
    </w:r>
  </w:p>
  <w:p w:rsidR="00F2096D" w:rsidRDefault="0058619A"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Human Health Criteria (HHC) Technical Workgroup </w:t>
    </w:r>
  </w:p>
  <w:p w:rsidR="0058619A" w:rsidRPr="00AA290C" w:rsidRDefault="00B84C9F"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Meeting #7</w:t>
    </w:r>
    <w:r w:rsidR="00F2096D">
      <w:rPr>
        <w:rFonts w:ascii="Garamond" w:eastAsia="Times New Roman" w:hAnsi="Garamond" w:cs="Times New Roman"/>
        <w:b/>
        <w:i/>
        <w:sz w:val="24"/>
        <w:szCs w:val="24"/>
      </w:rPr>
      <w:t xml:space="preserve"> </w:t>
    </w:r>
    <w:r w:rsidR="0058619A">
      <w:rPr>
        <w:rFonts w:ascii="Garamond" w:eastAsia="Times New Roman" w:hAnsi="Garamond" w:cs="Times New Roman"/>
        <w:b/>
        <w:sz w:val="24"/>
        <w:szCs w:val="24"/>
      </w:rPr>
      <w:t>Agenda</w:t>
    </w:r>
  </w:p>
  <w:p w:rsidR="0058619A" w:rsidRPr="004B5BE1" w:rsidRDefault="00CE7E50" w:rsidP="004B5BE1">
    <w:pPr>
      <w:pStyle w:val="Title"/>
      <w:jc w:val="center"/>
      <w:rPr>
        <w:rFonts w:ascii="Garamond" w:eastAsia="Times New Roman" w:hAnsi="Garamond" w:cs="Times New Roman"/>
        <w:b/>
        <w:i/>
        <w:sz w:val="24"/>
        <w:szCs w:val="24"/>
      </w:rPr>
    </w:pPr>
    <w:r>
      <w:rPr>
        <w:rFonts w:ascii="Garamond" w:eastAsia="Times New Roman" w:hAnsi="Garamond" w:cs="Times New Roman"/>
        <w:b/>
        <w:sz w:val="24"/>
        <w:szCs w:val="24"/>
      </w:rPr>
      <w:t>May 11, 2016</w:t>
    </w:r>
  </w:p>
  <w:p w:rsidR="0058619A" w:rsidRDefault="00586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C15"/>
    <w:multiLevelType w:val="hybridMultilevel"/>
    <w:tmpl w:val="40E61F84"/>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8095A"/>
    <w:multiLevelType w:val="hybridMultilevel"/>
    <w:tmpl w:val="8192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957FB"/>
    <w:multiLevelType w:val="hybridMultilevel"/>
    <w:tmpl w:val="108A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0133A"/>
    <w:multiLevelType w:val="hybridMultilevel"/>
    <w:tmpl w:val="BB4CF6A2"/>
    <w:lvl w:ilvl="0" w:tplc="599AC6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9A"/>
    <w:rsid w:val="00051190"/>
    <w:rsid w:val="000707CF"/>
    <w:rsid w:val="00096000"/>
    <w:rsid w:val="000D2C3B"/>
    <w:rsid w:val="000D6BAC"/>
    <w:rsid w:val="000F383B"/>
    <w:rsid w:val="00144A9F"/>
    <w:rsid w:val="00196C32"/>
    <w:rsid w:val="001C7CA6"/>
    <w:rsid w:val="00225501"/>
    <w:rsid w:val="00234C5E"/>
    <w:rsid w:val="00246E19"/>
    <w:rsid w:val="00250A61"/>
    <w:rsid w:val="00277DEC"/>
    <w:rsid w:val="002D4EA5"/>
    <w:rsid w:val="00382134"/>
    <w:rsid w:val="00386FB4"/>
    <w:rsid w:val="003B0CEE"/>
    <w:rsid w:val="00423DC2"/>
    <w:rsid w:val="004802C8"/>
    <w:rsid w:val="004B5BE1"/>
    <w:rsid w:val="004D142C"/>
    <w:rsid w:val="0058619A"/>
    <w:rsid w:val="005862B6"/>
    <w:rsid w:val="00594EDD"/>
    <w:rsid w:val="005C4004"/>
    <w:rsid w:val="005F524D"/>
    <w:rsid w:val="007D192B"/>
    <w:rsid w:val="008C5850"/>
    <w:rsid w:val="009456CB"/>
    <w:rsid w:val="00AD015E"/>
    <w:rsid w:val="00AD78DE"/>
    <w:rsid w:val="00B55813"/>
    <w:rsid w:val="00B84C9F"/>
    <w:rsid w:val="00BB7D1E"/>
    <w:rsid w:val="00BE7D11"/>
    <w:rsid w:val="00BF5379"/>
    <w:rsid w:val="00CB3203"/>
    <w:rsid w:val="00CD3912"/>
    <w:rsid w:val="00CE7E50"/>
    <w:rsid w:val="00D06009"/>
    <w:rsid w:val="00D20B68"/>
    <w:rsid w:val="00D458A5"/>
    <w:rsid w:val="00D946E8"/>
    <w:rsid w:val="00E22493"/>
    <w:rsid w:val="00E654A3"/>
    <w:rsid w:val="00F2096D"/>
    <w:rsid w:val="00F27215"/>
    <w:rsid w:val="00F3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59E42ED-1BF0-4B0B-83CF-6DEB2FB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9A"/>
  </w:style>
  <w:style w:type="paragraph" w:styleId="Footer">
    <w:name w:val="footer"/>
    <w:basedOn w:val="Normal"/>
    <w:link w:val="FooterChar"/>
    <w:uiPriority w:val="99"/>
    <w:unhideWhenUsed/>
    <w:rsid w:val="0058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9A"/>
  </w:style>
  <w:style w:type="paragraph" w:styleId="Title">
    <w:name w:val="Title"/>
    <w:basedOn w:val="Normal"/>
    <w:next w:val="Normal"/>
    <w:link w:val="TitleChar"/>
    <w:uiPriority w:val="10"/>
    <w:qFormat/>
    <w:rsid w:val="005861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619A"/>
    <w:pPr>
      <w:ind w:left="720"/>
      <w:contextualSpacing/>
    </w:pPr>
  </w:style>
  <w:style w:type="table" w:styleId="TableGrid">
    <w:name w:val="Table Grid"/>
    <w:basedOn w:val="TableNormal"/>
    <w:uiPriority w:val="59"/>
    <w:rsid w:val="003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15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371230">
      <w:bodyDiv w:val="1"/>
      <w:marLeft w:val="0"/>
      <w:marRight w:val="0"/>
      <w:marTop w:val="0"/>
      <w:marBottom w:val="0"/>
      <w:divBdr>
        <w:top w:val="none" w:sz="0" w:space="0" w:color="auto"/>
        <w:left w:val="none" w:sz="0" w:space="0" w:color="auto"/>
        <w:bottom w:val="none" w:sz="0" w:space="0" w:color="auto"/>
        <w:right w:val="none" w:sz="0" w:space="0" w:color="auto"/>
      </w:divBdr>
    </w:div>
    <w:div w:id="21091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ater.epa.gov/scitech/swguidance/standards/upload/2005_05_06_criteria_humanhealth_method_comple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Tabor, Brock</cp:lastModifiedBy>
  <cp:revision>3</cp:revision>
  <dcterms:created xsi:type="dcterms:W3CDTF">2016-04-27T15:51:00Z</dcterms:created>
  <dcterms:modified xsi:type="dcterms:W3CDTF">2016-05-04T00:18:00Z</dcterms:modified>
</cp:coreProperties>
</file>