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000" w:rsidRPr="00CB3203" w:rsidRDefault="0058619A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Purpose</w:t>
      </w:r>
      <w:r w:rsidR="00D946E8" w:rsidRPr="00CB3203">
        <w:rPr>
          <w:rFonts w:ascii="Garamond" w:hAnsi="Garamond"/>
          <w:sz w:val="24"/>
          <w:szCs w:val="24"/>
        </w:rPr>
        <w:t xml:space="preserve"> The purpose of the technical workgroup is </w:t>
      </w:r>
      <w:r w:rsidR="00FC5A65">
        <w:rPr>
          <w:rFonts w:ascii="Garamond" w:hAnsi="Garamond"/>
          <w:sz w:val="24"/>
          <w:szCs w:val="24"/>
        </w:rPr>
        <w:t xml:space="preserve">to review the materials presented to date and </w:t>
      </w:r>
      <w:r w:rsidR="0037009C">
        <w:rPr>
          <w:rFonts w:ascii="Garamond" w:hAnsi="Garamond"/>
          <w:sz w:val="24"/>
          <w:szCs w:val="24"/>
        </w:rPr>
        <w:t>develop technical recommendations on key issues</w:t>
      </w:r>
      <w:r w:rsidR="00D946E8" w:rsidRPr="00CB3203">
        <w:rPr>
          <w:rFonts w:ascii="Garamond" w:hAnsi="Garamond"/>
          <w:sz w:val="24"/>
          <w:szCs w:val="24"/>
        </w:rPr>
        <w:t xml:space="preserve"> that affect how Alaska will develop human health criteria in State water quality standards.</w:t>
      </w:r>
    </w:p>
    <w:p w:rsidR="005C4004" w:rsidRDefault="001C7CA6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 xml:space="preserve">Workgroup </w:t>
      </w:r>
      <w:r w:rsidR="00F315AC" w:rsidRPr="00CB3203">
        <w:rPr>
          <w:rFonts w:ascii="Garamond" w:hAnsi="Garamond"/>
          <w:b/>
          <w:sz w:val="24"/>
          <w:szCs w:val="24"/>
        </w:rPr>
        <w:t xml:space="preserve">Participants: </w:t>
      </w:r>
      <w:r w:rsidR="00196C32" w:rsidRPr="00CB3203">
        <w:rPr>
          <w:rFonts w:ascii="Garamond" w:hAnsi="Garamond"/>
          <w:sz w:val="24"/>
          <w:szCs w:val="24"/>
        </w:rPr>
        <w:t xml:space="preserve">L. Duffy; </w:t>
      </w:r>
      <w:r w:rsidRPr="00CB3203">
        <w:rPr>
          <w:rFonts w:ascii="Garamond" w:hAnsi="Garamond"/>
          <w:sz w:val="24"/>
          <w:szCs w:val="24"/>
        </w:rPr>
        <w:t xml:space="preserve">J. Fall, </w:t>
      </w:r>
      <w:r w:rsidR="005C4004" w:rsidRPr="00CB3203">
        <w:rPr>
          <w:rFonts w:ascii="Garamond" w:hAnsi="Garamond"/>
          <w:sz w:val="24"/>
          <w:szCs w:val="24"/>
        </w:rPr>
        <w:t>B. Gerlach</w:t>
      </w:r>
      <w:r w:rsidR="005C4004">
        <w:rPr>
          <w:rFonts w:ascii="Garamond" w:hAnsi="Garamond"/>
          <w:sz w:val="24"/>
          <w:szCs w:val="24"/>
        </w:rPr>
        <w:t xml:space="preserve">; </w:t>
      </w:r>
      <w:r w:rsidR="00094B7C">
        <w:rPr>
          <w:rFonts w:ascii="Garamond" w:hAnsi="Garamond"/>
          <w:sz w:val="24"/>
          <w:szCs w:val="24"/>
        </w:rPr>
        <w:t>S. Deglin</w:t>
      </w:r>
      <w:r w:rsidR="00196C32" w:rsidRPr="00CB3203">
        <w:rPr>
          <w:rFonts w:ascii="Garamond" w:hAnsi="Garamond"/>
          <w:sz w:val="24"/>
          <w:szCs w:val="24"/>
        </w:rPr>
        <w:t>; B. Jokela; A. Kelley;</w:t>
      </w:r>
      <w:r w:rsidR="005C4004" w:rsidRPr="00CB3203">
        <w:rPr>
          <w:rFonts w:ascii="Garamond" w:hAnsi="Garamond"/>
          <w:sz w:val="24"/>
          <w:szCs w:val="24"/>
        </w:rPr>
        <w:t xml:space="preserve"> M. Opheim;</w:t>
      </w:r>
      <w:r w:rsidR="005C4004"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N. Sonafrank</w:t>
      </w:r>
      <w:r w:rsidR="00196C32" w:rsidRPr="00CB3203">
        <w:rPr>
          <w:rFonts w:ascii="Garamond" w:hAnsi="Garamond"/>
          <w:sz w:val="24"/>
          <w:szCs w:val="24"/>
        </w:rPr>
        <w:t xml:space="preserve">; L. Verbrugge; </w:t>
      </w:r>
      <w:r w:rsidR="005C4004" w:rsidRPr="00CB3203">
        <w:rPr>
          <w:rFonts w:ascii="Garamond" w:hAnsi="Garamond"/>
          <w:sz w:val="24"/>
          <w:szCs w:val="24"/>
        </w:rPr>
        <w:t xml:space="preserve">T. Wu;  </w:t>
      </w:r>
      <w:r w:rsidR="00196C32" w:rsidRPr="00CB3203">
        <w:rPr>
          <w:rFonts w:ascii="Garamond" w:hAnsi="Garamond"/>
          <w:sz w:val="24"/>
          <w:szCs w:val="24"/>
        </w:rPr>
        <w:t>K. Zamzow</w:t>
      </w:r>
    </w:p>
    <w:p w:rsidR="00B55813" w:rsidRDefault="00B55813" w:rsidP="00A36BD1">
      <w:p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Technical Advisor</w:t>
      </w:r>
      <w:r w:rsidR="000707CF">
        <w:rPr>
          <w:rFonts w:ascii="Garamond" w:hAnsi="Garamond"/>
          <w:b/>
          <w:sz w:val="24"/>
          <w:szCs w:val="24"/>
        </w:rPr>
        <w:t>s</w:t>
      </w:r>
      <w:r w:rsidRPr="00B55813"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Pr="00CB3203">
        <w:rPr>
          <w:rFonts w:ascii="Garamond" w:hAnsi="Garamond"/>
          <w:sz w:val="24"/>
          <w:szCs w:val="24"/>
        </w:rPr>
        <w:t>L. Kissinger</w:t>
      </w:r>
      <w:r w:rsidR="00F27215">
        <w:rPr>
          <w:rFonts w:ascii="Garamond" w:hAnsi="Garamond"/>
          <w:sz w:val="24"/>
          <w:szCs w:val="24"/>
        </w:rPr>
        <w:t xml:space="preserve"> </w:t>
      </w:r>
      <w:r w:rsidR="000707CF">
        <w:rPr>
          <w:rFonts w:ascii="Garamond" w:hAnsi="Garamond"/>
          <w:sz w:val="24"/>
          <w:szCs w:val="24"/>
        </w:rPr>
        <w:t>(EPA)</w:t>
      </w:r>
      <w:r w:rsidR="00652A88">
        <w:rPr>
          <w:rFonts w:ascii="Garamond" w:hAnsi="Garamond"/>
          <w:sz w:val="24"/>
          <w:szCs w:val="24"/>
        </w:rPr>
        <w:t>, M. Szelag (EPA)</w:t>
      </w:r>
    </w:p>
    <w:p w:rsidR="00C94352" w:rsidRPr="0037009C" w:rsidRDefault="00F315AC" w:rsidP="00A36BD1">
      <w:pPr>
        <w:spacing w:after="120"/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Expected Meeting Outcome(s)</w:t>
      </w:r>
      <w:r w:rsidR="0058619A" w:rsidRPr="00CB3203">
        <w:rPr>
          <w:rFonts w:ascii="Garamond" w:hAnsi="Garamond"/>
          <w:b/>
          <w:sz w:val="24"/>
          <w:szCs w:val="24"/>
        </w:rPr>
        <w:t xml:space="preserve">: </w:t>
      </w:r>
    </w:p>
    <w:p w:rsidR="00114E60" w:rsidRPr="00114E60" w:rsidRDefault="00114E60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Have a better understanding of EPA’s process for developing BAF values and how marine mammals could be incorporated.</w:t>
      </w:r>
    </w:p>
    <w:p w:rsidR="003C7B46" w:rsidRPr="003C7B46" w:rsidRDefault="003C7B46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Have a better understanding of which chemicals with HHC are present in Alaska</w:t>
      </w:r>
      <w:r w:rsidR="00114E60">
        <w:rPr>
          <w:rFonts w:ascii="Garamond" w:hAnsi="Garamond"/>
          <w:sz w:val="24"/>
          <w:szCs w:val="24"/>
        </w:rPr>
        <w:t>.</w:t>
      </w:r>
    </w:p>
    <w:p w:rsidR="00C94352" w:rsidRPr="00234C5E" w:rsidRDefault="0037009C" w:rsidP="00A36BD1">
      <w:pPr>
        <w:pStyle w:val="ListParagraph"/>
        <w:numPr>
          <w:ilvl w:val="0"/>
          <w:numId w:val="1"/>
        </w:numPr>
        <w:spacing w:after="120"/>
        <w:ind w:right="-45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Develop technical recommendations on </w:t>
      </w:r>
      <w:r w:rsidR="003C7B46">
        <w:rPr>
          <w:rFonts w:ascii="Garamond" w:hAnsi="Garamond"/>
          <w:sz w:val="24"/>
          <w:szCs w:val="24"/>
        </w:rPr>
        <w:t>how DEC could address those chemicals in the HHC formula</w:t>
      </w:r>
      <w:r>
        <w:rPr>
          <w:rFonts w:ascii="Garamond" w:hAnsi="Garamond"/>
          <w:sz w:val="24"/>
          <w:szCs w:val="24"/>
        </w:rPr>
        <w:t>.</w:t>
      </w:r>
    </w:p>
    <w:p w:rsidR="00382134" w:rsidRPr="00CB3203" w:rsidRDefault="00FA4289" w:rsidP="00A36BD1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December 15</w:t>
      </w:r>
      <w:r w:rsidR="00D564BF">
        <w:rPr>
          <w:rFonts w:ascii="Garamond" w:hAnsi="Garamond"/>
          <w:b/>
          <w:sz w:val="24"/>
          <w:szCs w:val="24"/>
        </w:rPr>
        <w:t xml:space="preserve"> </w:t>
      </w:r>
      <w:r w:rsidR="00382134" w:rsidRPr="00CB3203">
        <w:rPr>
          <w:rFonts w:ascii="Garamond" w:hAnsi="Garamond"/>
          <w:b/>
          <w:sz w:val="24"/>
          <w:szCs w:val="24"/>
        </w:rPr>
        <w:t>Agenda</w:t>
      </w:r>
    </w:p>
    <w:p w:rsidR="000F4D30" w:rsidRDefault="000F4D30" w:rsidP="000F4D30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1:00 </w:t>
      </w:r>
      <w:r>
        <w:rPr>
          <w:rFonts w:ascii="Garamond" w:hAnsi="Garamond"/>
          <w:sz w:val="24"/>
          <w:szCs w:val="24"/>
        </w:rPr>
        <w:tab/>
        <w:t>Housekeeping</w:t>
      </w:r>
    </w:p>
    <w:p w:rsidR="00F34F75" w:rsidRDefault="00FA4289" w:rsidP="00F34F75">
      <w:pPr>
        <w:spacing w:after="12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1:05 </w:t>
      </w:r>
      <w:r>
        <w:rPr>
          <w:rFonts w:ascii="Garamond" w:hAnsi="Garamond"/>
          <w:sz w:val="24"/>
          <w:szCs w:val="24"/>
        </w:rPr>
        <w:tab/>
      </w:r>
      <w:r w:rsidR="00F34F75">
        <w:rPr>
          <w:rFonts w:ascii="Garamond" w:hAnsi="Garamond"/>
          <w:sz w:val="24"/>
          <w:szCs w:val="24"/>
        </w:rPr>
        <w:t xml:space="preserve">Discussion: Development of BAF values and marine mammals (Dr. </w:t>
      </w:r>
      <w:proofErr w:type="spellStart"/>
      <w:r w:rsidR="00F34F75">
        <w:rPr>
          <w:rFonts w:ascii="Garamond" w:hAnsi="Garamond"/>
          <w:sz w:val="24"/>
          <w:szCs w:val="24"/>
        </w:rPr>
        <w:t>Gobas</w:t>
      </w:r>
      <w:proofErr w:type="spellEnd"/>
      <w:r w:rsidR="00F34F75">
        <w:rPr>
          <w:rFonts w:ascii="Garamond" w:hAnsi="Garamond"/>
          <w:sz w:val="24"/>
          <w:szCs w:val="24"/>
        </w:rPr>
        <w:t>)</w:t>
      </w:r>
      <w:r w:rsidR="000F4D30">
        <w:rPr>
          <w:rFonts w:ascii="Garamond" w:hAnsi="Garamond"/>
          <w:sz w:val="24"/>
          <w:szCs w:val="24"/>
        </w:rPr>
        <w:tab/>
      </w:r>
    </w:p>
    <w:p w:rsidR="006234AA" w:rsidRPr="006234AA" w:rsidRDefault="006234AA" w:rsidP="00F34F75">
      <w:pPr>
        <w:spacing w:after="120"/>
        <w:ind w:left="360"/>
        <w:rPr>
          <w:rFonts w:ascii="Garamond" w:hAnsi="Garamond"/>
          <w:sz w:val="24"/>
          <w:szCs w:val="24"/>
          <w:u w:val="single"/>
        </w:rPr>
      </w:pPr>
      <w:r w:rsidRPr="006234AA">
        <w:rPr>
          <w:rFonts w:ascii="Garamond" w:hAnsi="Garamond"/>
          <w:sz w:val="24"/>
          <w:szCs w:val="24"/>
          <w:u w:val="single"/>
        </w:rPr>
        <w:t>Questions for discussion</w:t>
      </w:r>
    </w:p>
    <w:p w:rsidR="006234AA" w:rsidRPr="006234AA" w:rsidRDefault="006234AA" w:rsidP="006234AA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234AA">
        <w:rPr>
          <w:rFonts w:ascii="Garamond" w:hAnsi="Garamond"/>
          <w:sz w:val="24"/>
          <w:szCs w:val="24"/>
        </w:rPr>
        <w:t xml:space="preserve">What marine mammals are </w:t>
      </w:r>
      <w:proofErr w:type="spellStart"/>
      <w:r w:rsidRPr="006234AA">
        <w:rPr>
          <w:rFonts w:ascii="Garamond" w:hAnsi="Garamond"/>
          <w:sz w:val="24"/>
          <w:szCs w:val="24"/>
        </w:rPr>
        <w:t>bioaccumulating</w:t>
      </w:r>
      <w:proofErr w:type="spellEnd"/>
      <w:r w:rsidRPr="006234AA">
        <w:rPr>
          <w:rFonts w:ascii="Garamond" w:hAnsi="Garamond"/>
          <w:sz w:val="24"/>
          <w:szCs w:val="24"/>
        </w:rPr>
        <w:t xml:space="preserve"> contaminants from waters under </w:t>
      </w:r>
      <w:proofErr w:type="gramStart"/>
      <w:r w:rsidRPr="006234AA">
        <w:rPr>
          <w:rFonts w:ascii="Garamond" w:hAnsi="Garamond"/>
          <w:sz w:val="24"/>
          <w:szCs w:val="24"/>
        </w:rPr>
        <w:t xml:space="preserve">CWA </w:t>
      </w:r>
      <w:r>
        <w:rPr>
          <w:rFonts w:ascii="Garamond" w:hAnsi="Garamond"/>
          <w:sz w:val="24"/>
          <w:szCs w:val="24"/>
        </w:rPr>
        <w:t xml:space="preserve"> </w:t>
      </w:r>
      <w:r w:rsidRPr="006234AA">
        <w:rPr>
          <w:rFonts w:ascii="Garamond" w:hAnsi="Garamond"/>
          <w:sz w:val="24"/>
          <w:szCs w:val="24"/>
        </w:rPr>
        <w:t>jurisdiction</w:t>
      </w:r>
      <w:proofErr w:type="gramEnd"/>
      <w:r w:rsidRPr="006234AA">
        <w:rPr>
          <w:rFonts w:ascii="Garamond" w:hAnsi="Garamond"/>
          <w:sz w:val="24"/>
          <w:szCs w:val="24"/>
        </w:rPr>
        <w:t xml:space="preserve"> (i.e. near shore marine, estuarine, and fresh water)?</w:t>
      </w:r>
    </w:p>
    <w:p w:rsidR="006234AA" w:rsidRPr="006234AA" w:rsidRDefault="006234AA" w:rsidP="006234AA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234AA">
        <w:rPr>
          <w:rFonts w:ascii="Garamond" w:hAnsi="Garamond"/>
          <w:sz w:val="24"/>
          <w:szCs w:val="24"/>
        </w:rPr>
        <w:t>Corollary:  Do some marine mammals have a fraction of their body burden that comes from CWA jurisdiction waters?  How would we get at fractional uptake?</w:t>
      </w:r>
    </w:p>
    <w:p w:rsidR="006234AA" w:rsidRPr="006234AA" w:rsidRDefault="006234AA" w:rsidP="006234AA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234AA">
        <w:rPr>
          <w:rFonts w:ascii="Garamond" w:hAnsi="Garamond"/>
          <w:sz w:val="24"/>
          <w:szCs w:val="24"/>
        </w:rPr>
        <w:t>How would we incorporate consideration of marine mammals in EPA’s current BAF methodology?</w:t>
      </w:r>
    </w:p>
    <w:p w:rsidR="006234AA" w:rsidRPr="006234AA" w:rsidRDefault="006234AA" w:rsidP="006234AA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234AA">
        <w:rPr>
          <w:rFonts w:ascii="Garamond" w:hAnsi="Garamond"/>
          <w:sz w:val="24"/>
          <w:szCs w:val="24"/>
        </w:rPr>
        <w:t>How do we take into account variation in bioaccumulation by life stage or season in developing BAFs for use in AWQC development?</w:t>
      </w:r>
    </w:p>
    <w:p w:rsidR="006234AA" w:rsidRPr="006234AA" w:rsidRDefault="006234AA" w:rsidP="006234AA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234AA">
        <w:rPr>
          <w:rFonts w:ascii="Garamond" w:hAnsi="Garamond"/>
          <w:sz w:val="24"/>
          <w:szCs w:val="24"/>
        </w:rPr>
        <w:t>Do you have any thoughts as to how we would deal with differences in diet and bioaccumulation across Alaska in developing AWQC?</w:t>
      </w:r>
    </w:p>
    <w:p w:rsidR="006234AA" w:rsidRPr="006234AA" w:rsidRDefault="006234AA" w:rsidP="006234AA">
      <w:pPr>
        <w:pStyle w:val="NoSpacing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234AA">
        <w:rPr>
          <w:rFonts w:ascii="Garamond" w:hAnsi="Garamond"/>
          <w:sz w:val="24"/>
          <w:szCs w:val="24"/>
        </w:rPr>
        <w:t>What are we missing?</w:t>
      </w:r>
    </w:p>
    <w:p w:rsidR="006234AA" w:rsidRDefault="006234AA" w:rsidP="006234AA">
      <w:pPr>
        <w:spacing w:after="120"/>
        <w:rPr>
          <w:rFonts w:ascii="Garamond" w:hAnsi="Garamond"/>
          <w:sz w:val="24"/>
          <w:szCs w:val="24"/>
        </w:rPr>
      </w:pPr>
    </w:p>
    <w:p w:rsidR="003C7B46" w:rsidRDefault="00702E00" w:rsidP="000F4D30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1:45</w:t>
      </w:r>
      <w:r w:rsidR="000F4D30">
        <w:rPr>
          <w:rFonts w:ascii="Garamond" w:hAnsi="Garamond"/>
          <w:sz w:val="24"/>
          <w:szCs w:val="24"/>
        </w:rPr>
        <w:tab/>
      </w:r>
      <w:r w:rsidR="003C7B46">
        <w:rPr>
          <w:rFonts w:ascii="Garamond" w:hAnsi="Garamond"/>
          <w:sz w:val="24"/>
          <w:szCs w:val="24"/>
        </w:rPr>
        <w:t>Discussion of Contaminates seen in Alaska and HHC revision process</w:t>
      </w:r>
    </w:p>
    <w:p w:rsidR="00EA1096" w:rsidRDefault="00EA1096" w:rsidP="00EA1096">
      <w:pPr>
        <w:pStyle w:val="ListParagraph"/>
        <w:numPr>
          <w:ilvl w:val="0"/>
          <w:numId w:val="10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Relevance to BAF/BCF; FCR; RSC</w:t>
      </w:r>
    </w:p>
    <w:p w:rsidR="000F4D30" w:rsidRDefault="003C7B46" w:rsidP="00EA1096">
      <w:pPr>
        <w:pStyle w:val="ListParagraph"/>
        <w:numPr>
          <w:ilvl w:val="0"/>
          <w:numId w:val="10"/>
        </w:numPr>
        <w:spacing w:after="120"/>
        <w:rPr>
          <w:rFonts w:ascii="Garamond" w:hAnsi="Garamond"/>
          <w:sz w:val="24"/>
          <w:szCs w:val="24"/>
        </w:rPr>
      </w:pPr>
      <w:r w:rsidRPr="00EA1096">
        <w:rPr>
          <w:rFonts w:ascii="Garamond" w:hAnsi="Garamond"/>
          <w:sz w:val="24"/>
          <w:szCs w:val="24"/>
        </w:rPr>
        <w:t xml:space="preserve">Resource: </w:t>
      </w:r>
      <w:r w:rsidR="00702E00" w:rsidRPr="00EA1096">
        <w:rPr>
          <w:rFonts w:ascii="Garamond" w:hAnsi="Garamond"/>
          <w:sz w:val="24"/>
          <w:szCs w:val="24"/>
        </w:rPr>
        <w:t>DEC Whitepaper</w:t>
      </w:r>
    </w:p>
    <w:p w:rsidR="00F34F75" w:rsidRPr="00EA1096" w:rsidRDefault="006234AA" w:rsidP="00EA1096">
      <w:pPr>
        <w:pStyle w:val="ListParagraph"/>
        <w:numPr>
          <w:ilvl w:val="0"/>
          <w:numId w:val="10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Contaminates noted by </w:t>
      </w:r>
      <w:r w:rsidR="00F34F75">
        <w:rPr>
          <w:rFonts w:ascii="Garamond" w:hAnsi="Garamond"/>
          <w:sz w:val="24"/>
          <w:szCs w:val="24"/>
        </w:rPr>
        <w:t>DHSS/USFWS</w:t>
      </w:r>
      <w:r>
        <w:rPr>
          <w:rFonts w:ascii="Garamond" w:hAnsi="Garamond"/>
          <w:sz w:val="24"/>
          <w:szCs w:val="24"/>
        </w:rPr>
        <w:t xml:space="preserve"> </w:t>
      </w:r>
    </w:p>
    <w:p w:rsidR="00FA4289" w:rsidRDefault="00FA4289" w:rsidP="000F4D30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2:45</w:t>
      </w:r>
      <w:r>
        <w:rPr>
          <w:rFonts w:ascii="Garamond" w:hAnsi="Garamond"/>
          <w:sz w:val="24"/>
          <w:szCs w:val="24"/>
        </w:rPr>
        <w:tab/>
        <w:t>ADF&amp;G FCR Project Update</w:t>
      </w:r>
      <w:r w:rsidR="00970DB2">
        <w:rPr>
          <w:rFonts w:ascii="Garamond" w:hAnsi="Garamond"/>
          <w:sz w:val="24"/>
          <w:szCs w:val="24"/>
        </w:rPr>
        <w:t xml:space="preserve"> &amp;</w:t>
      </w:r>
      <w:r>
        <w:rPr>
          <w:rFonts w:ascii="Garamond" w:hAnsi="Garamond"/>
          <w:sz w:val="24"/>
          <w:szCs w:val="24"/>
        </w:rPr>
        <w:t xml:space="preserve"> Next Steps</w:t>
      </w:r>
    </w:p>
    <w:p w:rsidR="000F4D30" w:rsidRDefault="00FA4289" w:rsidP="000F4D30">
      <w:pPr>
        <w:spacing w:after="120"/>
        <w:ind w:left="1440" w:hanging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2:50</w:t>
      </w:r>
      <w:r w:rsidR="000F4D30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Public Comments</w:t>
      </w:r>
    </w:p>
    <w:p w:rsidR="00FA4289" w:rsidRDefault="00FA4289" w:rsidP="000F4D30">
      <w:pPr>
        <w:spacing w:after="120"/>
        <w:ind w:left="1440" w:hanging="108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3:00 </w:t>
      </w:r>
      <w:r>
        <w:rPr>
          <w:rFonts w:ascii="Garamond" w:hAnsi="Garamond"/>
          <w:sz w:val="24"/>
          <w:szCs w:val="24"/>
        </w:rPr>
        <w:tab/>
        <w:t>Adjourn</w:t>
      </w:r>
    </w:p>
    <w:p w:rsidR="003A18CA" w:rsidRDefault="003A18CA" w:rsidP="00A36BD1">
      <w:pPr>
        <w:spacing w:after="120"/>
        <w:ind w:left="36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:rsidR="004802C8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lastRenderedPageBreak/>
        <w:t>Meeting Documents</w:t>
      </w:r>
    </w:p>
    <w:p w:rsidR="00F315AC" w:rsidRPr="00CB3203" w:rsidRDefault="00F315AC" w:rsidP="00F315AC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CB3203">
        <w:rPr>
          <w:rFonts w:ascii="Garamond" w:hAnsi="Garamond"/>
          <w:sz w:val="24"/>
          <w:szCs w:val="24"/>
        </w:rPr>
        <w:t>Technical Workgroup Notebook</w:t>
      </w:r>
    </w:p>
    <w:p w:rsidR="00F315AC" w:rsidRPr="006234AA" w:rsidRDefault="00AD78DE" w:rsidP="00F315AC">
      <w:pPr>
        <w:pStyle w:val="ListParagraph"/>
        <w:numPr>
          <w:ilvl w:val="1"/>
          <w:numId w:val="3"/>
        </w:num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CB3203">
        <w:rPr>
          <w:rFonts w:ascii="Garamond" w:hAnsi="Garamond"/>
          <w:sz w:val="24"/>
          <w:szCs w:val="24"/>
        </w:rPr>
        <w:t xml:space="preserve">Chapter 4: </w:t>
      </w:r>
      <w:r w:rsidR="00F315AC" w:rsidRPr="00CB3203">
        <w:rPr>
          <w:rFonts w:ascii="Garamond" w:hAnsi="Garamond"/>
          <w:sz w:val="24"/>
          <w:szCs w:val="24"/>
        </w:rPr>
        <w:t xml:space="preserve">Methodology for Deriving Ambient Water Quality Criteria for the Protection of Human Health (2000): (NOTE THAT THIS DOCUMENT WILL NOT BE IN THE NOTEBOOK DUE TO SIZE OF DOCUMENT) </w:t>
      </w:r>
      <w:hyperlink r:id="rId7" w:history="1">
        <w:r w:rsidR="00F315AC" w:rsidRPr="00CB3203">
          <w:rPr>
            <w:rStyle w:val="Hyperlink"/>
            <w:rFonts w:ascii="Garamond" w:hAnsi="Garamond"/>
            <w:sz w:val="24"/>
            <w:szCs w:val="24"/>
          </w:rPr>
          <w:t>http://water.epa.gov/scitech/swguidance/standards/upload/2005_05_06_criteria_humanhealth_method_complete.pdf</w:t>
        </w:r>
      </w:hyperlink>
    </w:p>
    <w:p w:rsidR="006234AA" w:rsidRPr="0069179E" w:rsidRDefault="006234AA" w:rsidP="006234AA">
      <w:pPr>
        <w:pStyle w:val="ListParagraph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69179E">
        <w:rPr>
          <w:rFonts w:ascii="Garamond" w:hAnsi="Garamond"/>
          <w:sz w:val="24"/>
          <w:szCs w:val="24"/>
        </w:rPr>
        <w:t>DEC Whitepaper: Chemicals in Alaska with Human Health Criteria</w:t>
      </w:r>
    </w:p>
    <w:p w:rsidR="00F315AC" w:rsidRPr="00CB3203" w:rsidRDefault="00F315AC" w:rsidP="00382134">
      <w:pPr>
        <w:rPr>
          <w:rFonts w:ascii="Garamond" w:hAnsi="Garamond"/>
          <w:b/>
          <w:sz w:val="24"/>
          <w:szCs w:val="24"/>
        </w:rPr>
      </w:pPr>
      <w:r w:rsidRPr="00CB3203">
        <w:rPr>
          <w:rFonts w:ascii="Garamond" w:hAnsi="Garamond"/>
          <w:b/>
          <w:sz w:val="24"/>
          <w:szCs w:val="24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6"/>
        <w:gridCol w:w="3120"/>
      </w:tblGrid>
      <w:tr w:rsidR="00F315AC" w:rsidRPr="00CB3203" w:rsidTr="00051190">
        <w:tc>
          <w:tcPr>
            <w:tcW w:w="3114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Who</w:t>
            </w:r>
          </w:p>
        </w:tc>
        <w:tc>
          <w:tcPr>
            <w:tcW w:w="3116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Will do What</w:t>
            </w:r>
          </w:p>
        </w:tc>
        <w:tc>
          <w:tcPr>
            <w:tcW w:w="3120" w:type="dxa"/>
          </w:tcPr>
          <w:p w:rsidR="00F315AC" w:rsidRPr="00CB3203" w:rsidRDefault="00F315AC" w:rsidP="00427694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B3203">
              <w:rPr>
                <w:rFonts w:ascii="Garamond" w:hAnsi="Garamond"/>
                <w:b/>
                <w:sz w:val="24"/>
                <w:szCs w:val="24"/>
              </w:rPr>
              <w:t>By (Date)</w:t>
            </w:r>
          </w:p>
        </w:tc>
      </w:tr>
      <w:tr w:rsidR="00F315AC" w:rsidRPr="00CB3203" w:rsidTr="00051190">
        <w:trPr>
          <w:trHeight w:val="512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  <w:bookmarkStart w:id="0" w:name="_GoBack"/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bookmarkEnd w:id="0"/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315AC" w:rsidRPr="00CB3203" w:rsidTr="00051190">
        <w:trPr>
          <w:trHeight w:val="530"/>
        </w:trPr>
        <w:tc>
          <w:tcPr>
            <w:tcW w:w="3114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16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120" w:type="dxa"/>
          </w:tcPr>
          <w:p w:rsidR="00F315AC" w:rsidRPr="00CB3203" w:rsidRDefault="00F315AC" w:rsidP="00427694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315AC" w:rsidRPr="00CB3203" w:rsidRDefault="00F315AC" w:rsidP="00051190">
      <w:pPr>
        <w:rPr>
          <w:rFonts w:ascii="Garamond" w:hAnsi="Garamond"/>
          <w:b/>
          <w:sz w:val="24"/>
          <w:szCs w:val="24"/>
        </w:rPr>
      </w:pPr>
    </w:p>
    <w:sectPr w:rsidR="00F315AC" w:rsidRPr="00CB3203" w:rsidSect="00051190">
      <w:headerReference w:type="default" r:id="rId8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9A" w:rsidRDefault="0058619A" w:rsidP="0058619A">
      <w:pPr>
        <w:spacing w:after="0" w:line="240" w:lineRule="auto"/>
      </w:pPr>
      <w:r>
        <w:separator/>
      </w:r>
    </w:p>
  </w:endnote>
  <w:end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9A" w:rsidRDefault="0058619A" w:rsidP="0058619A">
      <w:pPr>
        <w:spacing w:after="0" w:line="240" w:lineRule="auto"/>
      </w:pPr>
      <w:r>
        <w:separator/>
      </w:r>
    </w:p>
  </w:footnote>
  <w:footnote w:type="continuationSeparator" w:id="0">
    <w:p w:rsidR="0058619A" w:rsidRDefault="0058619A" w:rsidP="005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A" w:rsidRPr="00342981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 w:rsidRPr="00342981">
      <w:rPr>
        <w:rFonts w:ascii="Garamond" w:eastAsia="Times New Roman" w:hAnsi="Garamond" w:cs="Times New Roman"/>
        <w:b/>
        <w:sz w:val="24"/>
        <w:szCs w:val="24"/>
      </w:rPr>
      <w:t>Division of Water</w:t>
    </w:r>
  </w:p>
  <w:p w:rsidR="00F2096D" w:rsidRDefault="0058619A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 xml:space="preserve">Human Health Criteria (HHC) Technical Workgroup </w:t>
    </w:r>
  </w:p>
  <w:p w:rsidR="0058619A" w:rsidRPr="00AA290C" w:rsidRDefault="006166B9" w:rsidP="0058619A">
    <w:pPr>
      <w:spacing w:after="0" w:line="240" w:lineRule="auto"/>
      <w:jc w:val="center"/>
      <w:rPr>
        <w:rFonts w:ascii="Garamond" w:eastAsia="Times New Roman" w:hAnsi="Garamond" w:cs="Times New Roman"/>
        <w:b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Meeting #9</w:t>
    </w:r>
    <w:r w:rsidR="00F2096D">
      <w:rPr>
        <w:rFonts w:ascii="Garamond" w:eastAsia="Times New Roman" w:hAnsi="Garamond" w:cs="Times New Roman"/>
        <w:b/>
        <w:i/>
        <w:sz w:val="24"/>
        <w:szCs w:val="24"/>
      </w:rPr>
      <w:t xml:space="preserve"> </w:t>
    </w:r>
    <w:r w:rsidR="0058619A">
      <w:rPr>
        <w:rFonts w:ascii="Garamond" w:eastAsia="Times New Roman" w:hAnsi="Garamond" w:cs="Times New Roman"/>
        <w:b/>
        <w:sz w:val="24"/>
        <w:szCs w:val="24"/>
      </w:rPr>
      <w:t>Agenda</w:t>
    </w:r>
  </w:p>
  <w:p w:rsidR="0058619A" w:rsidRPr="00A36BD1" w:rsidRDefault="006166B9" w:rsidP="00A36BD1">
    <w:pPr>
      <w:pStyle w:val="Title"/>
      <w:spacing w:after="200"/>
      <w:jc w:val="center"/>
      <w:rPr>
        <w:rFonts w:ascii="Garamond" w:eastAsia="Times New Roman" w:hAnsi="Garamond" w:cs="Times New Roman"/>
        <w:b/>
        <w:i/>
        <w:sz w:val="24"/>
        <w:szCs w:val="24"/>
      </w:rPr>
    </w:pPr>
    <w:r>
      <w:rPr>
        <w:rFonts w:ascii="Garamond" w:eastAsia="Times New Roman" w:hAnsi="Garamond" w:cs="Times New Roman"/>
        <w:b/>
        <w:sz w:val="24"/>
        <w:szCs w:val="24"/>
      </w:rPr>
      <w:t>December 15</w:t>
    </w:r>
    <w:r w:rsidR="00CE7E50">
      <w:rPr>
        <w:rFonts w:ascii="Garamond" w:eastAsia="Times New Roman" w:hAnsi="Garamond" w:cs="Times New Roman"/>
        <w:b/>
        <w:sz w:val="24"/>
        <w:szCs w:val="24"/>
      </w:rPr>
      <w:t>,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F7A"/>
    <w:multiLevelType w:val="hybridMultilevel"/>
    <w:tmpl w:val="FBE05C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B40405"/>
    <w:multiLevelType w:val="hybridMultilevel"/>
    <w:tmpl w:val="B45A5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706C15"/>
    <w:multiLevelType w:val="hybridMultilevel"/>
    <w:tmpl w:val="40E61F84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8095A"/>
    <w:multiLevelType w:val="hybridMultilevel"/>
    <w:tmpl w:val="297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B3728"/>
    <w:multiLevelType w:val="hybridMultilevel"/>
    <w:tmpl w:val="8A9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957FB"/>
    <w:multiLevelType w:val="hybridMultilevel"/>
    <w:tmpl w:val="73283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C19C1"/>
    <w:multiLevelType w:val="hybridMultilevel"/>
    <w:tmpl w:val="D930AA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F9F1F40"/>
    <w:multiLevelType w:val="hybridMultilevel"/>
    <w:tmpl w:val="C77201B8"/>
    <w:lvl w:ilvl="0" w:tplc="D9947EE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E3807"/>
    <w:multiLevelType w:val="hybridMultilevel"/>
    <w:tmpl w:val="18DAD33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B3811C2"/>
    <w:multiLevelType w:val="hybridMultilevel"/>
    <w:tmpl w:val="5BF0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60133A"/>
    <w:multiLevelType w:val="hybridMultilevel"/>
    <w:tmpl w:val="BB4CF6A2"/>
    <w:lvl w:ilvl="0" w:tplc="599AC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DB0C77"/>
    <w:multiLevelType w:val="hybridMultilevel"/>
    <w:tmpl w:val="CDF6E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 w:numId="9">
    <w:abstractNumId w:val="0"/>
  </w:num>
  <w:num w:numId="10">
    <w:abstractNumId w:val="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9A"/>
    <w:rsid w:val="0000562C"/>
    <w:rsid w:val="00033F6C"/>
    <w:rsid w:val="00051190"/>
    <w:rsid w:val="00066C7D"/>
    <w:rsid w:val="000707CF"/>
    <w:rsid w:val="00094B7C"/>
    <w:rsid w:val="00096000"/>
    <w:rsid w:val="000D2C3B"/>
    <w:rsid w:val="000D6BAC"/>
    <w:rsid w:val="000F383B"/>
    <w:rsid w:val="000F4D30"/>
    <w:rsid w:val="00114E60"/>
    <w:rsid w:val="00142221"/>
    <w:rsid w:val="00144A9F"/>
    <w:rsid w:val="00183046"/>
    <w:rsid w:val="00196C32"/>
    <w:rsid w:val="001C7CA6"/>
    <w:rsid w:val="001D5646"/>
    <w:rsid w:val="00225501"/>
    <w:rsid w:val="00234C5E"/>
    <w:rsid w:val="00246E19"/>
    <w:rsid w:val="00250A61"/>
    <w:rsid w:val="00277DEC"/>
    <w:rsid w:val="002A6FFB"/>
    <w:rsid w:val="002C5201"/>
    <w:rsid w:val="002D4EA5"/>
    <w:rsid w:val="002E254D"/>
    <w:rsid w:val="00357D17"/>
    <w:rsid w:val="0037009C"/>
    <w:rsid w:val="0037571A"/>
    <w:rsid w:val="00382134"/>
    <w:rsid w:val="00386FB4"/>
    <w:rsid w:val="003A18CA"/>
    <w:rsid w:val="003A4119"/>
    <w:rsid w:val="003B0CEE"/>
    <w:rsid w:val="003C7B46"/>
    <w:rsid w:val="003D1E5D"/>
    <w:rsid w:val="00423DC2"/>
    <w:rsid w:val="004802C8"/>
    <w:rsid w:val="004B5BE1"/>
    <w:rsid w:val="004D142C"/>
    <w:rsid w:val="00567FEA"/>
    <w:rsid w:val="0058619A"/>
    <w:rsid w:val="005862B6"/>
    <w:rsid w:val="00594EDD"/>
    <w:rsid w:val="005C4004"/>
    <w:rsid w:val="005C6AD1"/>
    <w:rsid w:val="005F524D"/>
    <w:rsid w:val="006166B9"/>
    <w:rsid w:val="006234AA"/>
    <w:rsid w:val="00652A88"/>
    <w:rsid w:val="0069179E"/>
    <w:rsid w:val="006E64CD"/>
    <w:rsid w:val="00701BA6"/>
    <w:rsid w:val="00702E00"/>
    <w:rsid w:val="007D192B"/>
    <w:rsid w:val="008115E3"/>
    <w:rsid w:val="0083458F"/>
    <w:rsid w:val="0088584C"/>
    <w:rsid w:val="008C5850"/>
    <w:rsid w:val="008F46D6"/>
    <w:rsid w:val="00935ECD"/>
    <w:rsid w:val="009456CB"/>
    <w:rsid w:val="00970DB2"/>
    <w:rsid w:val="00A34BC8"/>
    <w:rsid w:val="00A36BD1"/>
    <w:rsid w:val="00AD015E"/>
    <w:rsid w:val="00AD78DE"/>
    <w:rsid w:val="00B4578A"/>
    <w:rsid w:val="00B55813"/>
    <w:rsid w:val="00B8042B"/>
    <w:rsid w:val="00B84C9F"/>
    <w:rsid w:val="00BB7D1E"/>
    <w:rsid w:val="00BC52AC"/>
    <w:rsid w:val="00BE7D11"/>
    <w:rsid w:val="00BF5379"/>
    <w:rsid w:val="00C418B3"/>
    <w:rsid w:val="00C94352"/>
    <w:rsid w:val="00CB3203"/>
    <w:rsid w:val="00CC151A"/>
    <w:rsid w:val="00CD3912"/>
    <w:rsid w:val="00CE7E50"/>
    <w:rsid w:val="00D06009"/>
    <w:rsid w:val="00D20B68"/>
    <w:rsid w:val="00D41FBB"/>
    <w:rsid w:val="00D458A5"/>
    <w:rsid w:val="00D564BF"/>
    <w:rsid w:val="00D60EB7"/>
    <w:rsid w:val="00D946E8"/>
    <w:rsid w:val="00DF13FE"/>
    <w:rsid w:val="00E22493"/>
    <w:rsid w:val="00E654A3"/>
    <w:rsid w:val="00E7344C"/>
    <w:rsid w:val="00EA1096"/>
    <w:rsid w:val="00F2096D"/>
    <w:rsid w:val="00F27215"/>
    <w:rsid w:val="00F315AC"/>
    <w:rsid w:val="00F34F75"/>
    <w:rsid w:val="00FA4289"/>
    <w:rsid w:val="00FA6309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chartTrackingRefBased/>
  <w15:docId w15:val="{659E42ED-1BF0-4B0B-83CF-6DEB2FB44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19A"/>
  </w:style>
  <w:style w:type="paragraph" w:styleId="Footer">
    <w:name w:val="footer"/>
    <w:basedOn w:val="Normal"/>
    <w:link w:val="FooterChar"/>
    <w:uiPriority w:val="99"/>
    <w:unhideWhenUsed/>
    <w:rsid w:val="00586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19A"/>
  </w:style>
  <w:style w:type="paragraph" w:styleId="Title">
    <w:name w:val="Title"/>
    <w:basedOn w:val="Normal"/>
    <w:next w:val="Normal"/>
    <w:link w:val="TitleChar"/>
    <w:uiPriority w:val="10"/>
    <w:qFormat/>
    <w:rsid w:val="005861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8619A"/>
    <w:pPr>
      <w:ind w:left="720"/>
      <w:contextualSpacing/>
    </w:pPr>
  </w:style>
  <w:style w:type="table" w:styleId="TableGrid">
    <w:name w:val="Table Grid"/>
    <w:basedOn w:val="TableNormal"/>
    <w:uiPriority w:val="59"/>
    <w:rsid w:val="00382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315AC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4B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B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B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B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BC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34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2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ater.epa.gov/scitech/swguidance/standards/upload/2005_05_06_criteria_humanhealth_method_complet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Tabor, Brock</dc:creator>
  <cp:keywords/>
  <dc:description/>
  <cp:lastModifiedBy>Tabor, Brock</cp:lastModifiedBy>
  <cp:revision>7</cp:revision>
  <dcterms:created xsi:type="dcterms:W3CDTF">2016-12-05T21:19:00Z</dcterms:created>
  <dcterms:modified xsi:type="dcterms:W3CDTF">2016-12-09T19:03:00Z</dcterms:modified>
</cp:coreProperties>
</file>