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B8EBA" w14:textId="77777777" w:rsidR="00505317" w:rsidRDefault="00505317" w:rsidP="00505317"/>
    <w:p w14:paraId="7FFF224D" w14:textId="2E0682A9" w:rsidR="00881FB4" w:rsidRDefault="00881FB4" w:rsidP="002D0010">
      <w:pPr>
        <w:pStyle w:val="ListParagraph"/>
        <w:numPr>
          <w:ilvl w:val="0"/>
          <w:numId w:val="9"/>
        </w:numPr>
      </w:pPr>
      <w:r w:rsidRPr="00881FB4">
        <w:rPr>
          <w:rStyle w:val="Heading2Char"/>
        </w:rPr>
        <w:t>Background:</w:t>
      </w:r>
      <w:r>
        <w:t xml:space="preserve"> The DEC Human Health Criteria (HHC) Technical Workgroup has been discussing the relevance of marine mammal consumption when establishing a fish consump</w:t>
      </w:r>
      <w:r w:rsidR="002B3702">
        <w:t xml:space="preserve">tion rate, </w:t>
      </w:r>
      <w:r w:rsidR="002A7A0B">
        <w:t>bioaccumulation factor</w:t>
      </w:r>
      <w:r>
        <w:t xml:space="preserve"> for the HHC formula</w:t>
      </w:r>
      <w:r w:rsidR="002B3702">
        <w:t>, and relative source contribution</w:t>
      </w:r>
      <w:r>
        <w:t>. EPA has not dictated a need to consider marine mammals as part of the HHC 2000 methodology. ADF&amp;G-Subsistence has completed a statistical analysis of the ADF&amp;G Community Harvest Database to determine consumption (use) of marine mammals by Alaskans across the different management regions.</w:t>
      </w:r>
      <w:r w:rsidR="00042EF5">
        <w:t xml:space="preserve"> The preliminary analysis is fairly intuitive; some subsistence practitioners rely more on marine mammals </w:t>
      </w:r>
      <w:r w:rsidR="008D0CAB">
        <w:t>than others.</w:t>
      </w:r>
    </w:p>
    <w:p w14:paraId="79D3CEAB" w14:textId="4E669616" w:rsidR="00A95552" w:rsidRDefault="00A95552" w:rsidP="00881FB4">
      <w:r>
        <w:t xml:space="preserve">Due to the complexity of this issue WQS staff </w:t>
      </w:r>
      <w:r w:rsidR="003F364C">
        <w:t>with the assistance of Drs. De</w:t>
      </w:r>
      <w:r w:rsidR="008209B3">
        <w:t>g</w:t>
      </w:r>
      <w:r w:rsidR="003F364C">
        <w:t>lin and Verb</w:t>
      </w:r>
      <w:r w:rsidR="008209B3">
        <w:t>r</w:t>
      </w:r>
      <w:r w:rsidR="003F364C">
        <w:t xml:space="preserve">ugge </w:t>
      </w:r>
      <w:r>
        <w:t>have developed a limited set of options for the HHC Workgroup t</w:t>
      </w:r>
      <w:r w:rsidR="003F364C">
        <w:t>o consider</w:t>
      </w:r>
      <w:r>
        <w:t>. These options may not represent the entire universe of options available but rather what is within the range of technical expertise of DEC to apply</w:t>
      </w:r>
      <w:r w:rsidR="008D0CAB">
        <w:t xml:space="preserve"> at this time.</w:t>
      </w:r>
      <w:r>
        <w:t xml:space="preserve"> </w:t>
      </w:r>
    </w:p>
    <w:p w14:paraId="4DAC6923" w14:textId="77777777" w:rsidR="00881FB4" w:rsidRDefault="00A95552" w:rsidP="002D0010">
      <w:pPr>
        <w:pStyle w:val="ListParagraph"/>
        <w:numPr>
          <w:ilvl w:val="0"/>
          <w:numId w:val="9"/>
        </w:numPr>
      </w:pPr>
      <w:r w:rsidRPr="00A95552">
        <w:rPr>
          <w:rStyle w:val="Heading2Char"/>
        </w:rPr>
        <w:t xml:space="preserve">Options:  </w:t>
      </w:r>
      <w:r>
        <w:t xml:space="preserve">The following are three aspects of the human health criteria formula that relate to the treatment of marine mammals. </w:t>
      </w:r>
    </w:p>
    <w:p w14:paraId="6A4A36A9" w14:textId="77777777" w:rsidR="00505317" w:rsidRPr="00E66555" w:rsidRDefault="00A95552" w:rsidP="00505317">
      <w:pPr>
        <w:rPr>
          <w:b/>
        </w:rPr>
      </w:pPr>
      <w:r>
        <w:rPr>
          <w:b/>
        </w:rPr>
        <w:t xml:space="preserve">I. </w:t>
      </w:r>
      <w:r w:rsidR="00E66555">
        <w:rPr>
          <w:b/>
        </w:rPr>
        <w:t>Fish Consumption Rate (</w:t>
      </w:r>
      <w:r w:rsidR="00E66555" w:rsidRPr="00E66555">
        <w:rPr>
          <w:b/>
        </w:rPr>
        <w:t>FCR</w:t>
      </w:r>
      <w:r w:rsidR="00E66555">
        <w:rPr>
          <w:b/>
        </w:rPr>
        <w:t>)</w:t>
      </w:r>
      <w:r w:rsidR="00E66555" w:rsidRPr="00E66555">
        <w:rPr>
          <w:b/>
        </w:rPr>
        <w:t xml:space="preserve"> </w:t>
      </w:r>
      <w:r w:rsidR="00505317" w:rsidRPr="00E66555">
        <w:rPr>
          <w:b/>
        </w:rPr>
        <w:t>Options for the Workgroup to consider</w:t>
      </w:r>
    </w:p>
    <w:p w14:paraId="3C1FCE28" w14:textId="76D2BD10" w:rsidR="00505317" w:rsidRDefault="00505317" w:rsidP="00505317">
      <w:pPr>
        <w:pStyle w:val="ListParagraph"/>
        <w:numPr>
          <w:ilvl w:val="0"/>
          <w:numId w:val="3"/>
        </w:numPr>
      </w:pPr>
      <w:r>
        <w:t xml:space="preserve">Simple adoption of fish consumption values </w:t>
      </w:r>
      <w:r w:rsidRPr="006E5A57">
        <w:rPr>
          <w:u w:val="single"/>
        </w:rPr>
        <w:t>without</w:t>
      </w:r>
      <w:r>
        <w:t xml:space="preserve"> consideration of marine mammals</w:t>
      </w:r>
      <w:r w:rsidR="00D77586">
        <w:t xml:space="preserve">  </w:t>
      </w:r>
    </w:p>
    <w:p w14:paraId="2B34A96D" w14:textId="75B1B6FA" w:rsidR="00152286" w:rsidRDefault="00020B4B" w:rsidP="00505317">
      <w:pPr>
        <w:pStyle w:val="ListParagraph"/>
        <w:numPr>
          <w:ilvl w:val="1"/>
          <w:numId w:val="3"/>
        </w:numPr>
      </w:pPr>
      <w:r>
        <w:t>Essentially- status quo.</w:t>
      </w:r>
      <w:r w:rsidR="00505317">
        <w:t xml:space="preserve"> </w:t>
      </w:r>
      <w:r w:rsidR="006E5A57">
        <w:t>Species-specific consumption concerns would be addressed by federal/state guidance as warranted- similar to fish consumption guidelines</w:t>
      </w:r>
      <w:r w:rsidR="00152286">
        <w:t xml:space="preserve">. </w:t>
      </w:r>
    </w:p>
    <w:p w14:paraId="72935721" w14:textId="0DB1D2F2" w:rsidR="0099640A" w:rsidRDefault="00020B4B" w:rsidP="006E5A57">
      <w:pPr>
        <w:pStyle w:val="ListParagraph"/>
        <w:numPr>
          <w:ilvl w:val="1"/>
          <w:numId w:val="3"/>
        </w:numPr>
      </w:pPr>
      <w:r>
        <w:t xml:space="preserve">Pro: Acknowledges the fact that the EPA HHC methodology is not designed to include marine mammals </w:t>
      </w:r>
      <w:r w:rsidR="006E5A57">
        <w:t>in FCR</w:t>
      </w:r>
      <w:r>
        <w:t>.</w:t>
      </w:r>
      <w:r w:rsidR="0099640A">
        <w:t xml:space="preserve">  Including marine mammal consumption would require complex research and calculations to accurately account for widely varying contaminant levels </w:t>
      </w:r>
      <w:r w:rsidR="008A082E">
        <w:t xml:space="preserve">among animals of a same species and </w:t>
      </w:r>
      <w:r w:rsidR="0099640A">
        <w:t xml:space="preserve">among different tissues within an individual </w:t>
      </w:r>
      <w:proofErr w:type="gramStart"/>
      <w:r w:rsidR="0099640A">
        <w:t>animal</w:t>
      </w:r>
      <w:proofErr w:type="gramEnd"/>
      <w:r w:rsidR="0099640A">
        <w:t>.</w:t>
      </w:r>
      <w:r>
        <w:t xml:space="preserve"> </w:t>
      </w:r>
      <w:r w:rsidR="00466E30">
        <w:t xml:space="preserve">Essentially, if we can’t do it “right” we shouldn’t do it. </w:t>
      </w:r>
      <w:r w:rsidR="0099640A">
        <w:t xml:space="preserve">  Also, with a few exceptions such as harbor seals, marine mammals are getting their contaminant loads from global sources, not from ADPES discharges.</w:t>
      </w:r>
    </w:p>
    <w:p w14:paraId="290F2E13" w14:textId="19828780" w:rsidR="006E5A57" w:rsidRDefault="00505317" w:rsidP="00C44508">
      <w:pPr>
        <w:pStyle w:val="ListParagraph"/>
        <w:ind w:left="1440"/>
      </w:pPr>
      <w:r>
        <w:tab/>
      </w:r>
    </w:p>
    <w:p w14:paraId="1962E506" w14:textId="348D282B" w:rsidR="00E96CEE" w:rsidRDefault="00E96CEE" w:rsidP="00E96CEE">
      <w:pPr>
        <w:pStyle w:val="ListParagraph"/>
        <w:numPr>
          <w:ilvl w:val="1"/>
          <w:numId w:val="3"/>
        </w:numPr>
      </w:pPr>
      <w:r>
        <w:t xml:space="preserve">Con: </w:t>
      </w:r>
      <w:r w:rsidR="00020B4B">
        <w:t>Could be controversial in places where marine mammal consum</w:t>
      </w:r>
      <w:r w:rsidR="006E5A57">
        <w:t>ption exceeds fish consumption</w:t>
      </w:r>
      <w:r w:rsidR="00466E30">
        <w:t xml:space="preserve"> and people feel that they are not being protected</w:t>
      </w:r>
      <w:r w:rsidR="002A7A0B">
        <w:t xml:space="preserve"> as some species may accumulate contaminates from nearshore waters</w:t>
      </w:r>
      <w:r w:rsidR="00466E30">
        <w:t xml:space="preserve">. </w:t>
      </w:r>
    </w:p>
    <w:p w14:paraId="045703EA" w14:textId="77777777" w:rsidR="00E96CEE" w:rsidRDefault="00E96CEE" w:rsidP="00E96CEE">
      <w:pPr>
        <w:pStyle w:val="ListParagraph"/>
        <w:ind w:left="1440"/>
      </w:pPr>
    </w:p>
    <w:p w14:paraId="33873746" w14:textId="7A060AAA" w:rsidR="00505317" w:rsidRDefault="00505317" w:rsidP="00505317">
      <w:pPr>
        <w:pStyle w:val="ListParagraph"/>
        <w:numPr>
          <w:ilvl w:val="0"/>
          <w:numId w:val="3"/>
        </w:numPr>
      </w:pPr>
      <w:commentRangeStart w:id="0"/>
      <w:r>
        <w:t xml:space="preserve">Adopt a </w:t>
      </w:r>
      <w:r w:rsidRPr="00152286">
        <w:rPr>
          <w:u w:val="single"/>
        </w:rPr>
        <w:t>percentage</w:t>
      </w:r>
      <w:r>
        <w:t xml:space="preserve"> of marine mammals as FCR </w:t>
      </w:r>
      <w:commentRangeEnd w:id="0"/>
      <w:r w:rsidR="001A620A">
        <w:rPr>
          <w:rStyle w:val="CommentReference"/>
        </w:rPr>
        <w:commentReference w:id="0"/>
      </w:r>
      <w:r>
        <w:t xml:space="preserve">(seals and belugas) based on </w:t>
      </w:r>
      <w:r w:rsidR="00DE335F">
        <w:t>habitat (resides primarily in waters of CWA jurisdiction)</w:t>
      </w:r>
    </w:p>
    <w:p w14:paraId="65605783" w14:textId="77777777" w:rsidR="00505317" w:rsidRDefault="00152286" w:rsidP="00505317">
      <w:pPr>
        <w:pStyle w:val="ListParagraph"/>
        <w:numPr>
          <w:ilvl w:val="1"/>
          <w:numId w:val="3"/>
        </w:numPr>
      </w:pPr>
      <w:r>
        <w:t>Acknowledges the fact that certain species are considered to be predominately residing in state waters and exposed to pollutants in those waters</w:t>
      </w:r>
    </w:p>
    <w:p w14:paraId="3C0A29B0" w14:textId="30AB71DB" w:rsidR="00505317" w:rsidRDefault="00505317" w:rsidP="00505317">
      <w:pPr>
        <w:pStyle w:val="ListParagraph"/>
        <w:numPr>
          <w:ilvl w:val="1"/>
          <w:numId w:val="3"/>
        </w:numPr>
      </w:pPr>
      <w:r>
        <w:t xml:space="preserve">Pro: Acknowledges the role of marine mammals as part of </w:t>
      </w:r>
      <w:r w:rsidR="00152286">
        <w:t xml:space="preserve">general diet in a manner similar to certain fish species. </w:t>
      </w:r>
    </w:p>
    <w:p w14:paraId="407B0724" w14:textId="264ACEBE" w:rsidR="00E96CEE" w:rsidRDefault="00505317" w:rsidP="00E96CEE">
      <w:pPr>
        <w:pStyle w:val="ListParagraph"/>
        <w:numPr>
          <w:ilvl w:val="1"/>
          <w:numId w:val="3"/>
        </w:numPr>
      </w:pPr>
      <w:r>
        <w:t xml:space="preserve">Con: </w:t>
      </w:r>
      <w:r w:rsidR="00E96CEE">
        <w:t>Does not resolve the fact that marine mammal tissue</w:t>
      </w:r>
      <w:r w:rsidR="002A7A0B">
        <w:t xml:space="preserve"> (e.g. organs, muscle, blubber)</w:t>
      </w:r>
      <w:bookmarkStart w:id="1" w:name="_GoBack"/>
      <w:bookmarkEnd w:id="1"/>
      <w:r w:rsidR="00E96CEE">
        <w:t xml:space="preserve"> harbors different levels of </w:t>
      </w:r>
      <w:r w:rsidR="00A46AD1">
        <w:t>contaminant</w:t>
      </w:r>
      <w:r w:rsidR="00E96CEE">
        <w:t xml:space="preserve">s. DEC will need to establish a process for making a tissue-specific </w:t>
      </w:r>
      <w:r w:rsidR="00E96CEE">
        <w:lastRenderedPageBreak/>
        <w:t>adjustment to the bioaccumulation factor (BAF)</w:t>
      </w:r>
      <w:r w:rsidR="006E4D85">
        <w:t>. This method is also based on the assumption that the</w:t>
      </w:r>
      <w:r w:rsidR="008A082E">
        <w:t xml:space="preserve"> contaminant</w:t>
      </w:r>
      <w:r w:rsidR="006E4D85">
        <w:t>s</w:t>
      </w:r>
      <w:r w:rsidR="008A082E">
        <w:t xml:space="preserve"> body burden </w:t>
      </w:r>
      <w:r w:rsidR="006E4D85">
        <w:t xml:space="preserve">of marine mammals </w:t>
      </w:r>
      <w:r w:rsidR="008A082E">
        <w:t>stem</w:t>
      </w:r>
      <w:r w:rsidR="006E4D85">
        <w:t>s</w:t>
      </w:r>
      <w:r w:rsidR="008A082E">
        <w:t xml:space="preserve"> from chemica</w:t>
      </w:r>
      <w:r w:rsidR="006E4D85">
        <w:t xml:space="preserve">l discharge to Alaska waters only, </w:t>
      </w:r>
      <w:r w:rsidR="008A082E">
        <w:t>discount</w:t>
      </w:r>
      <w:r w:rsidR="006E4D85">
        <w:t>ing</w:t>
      </w:r>
      <w:r w:rsidR="008A082E">
        <w:t xml:space="preserve"> global </w:t>
      </w:r>
      <w:r w:rsidR="006E4D85">
        <w:t>distillation.</w:t>
      </w:r>
    </w:p>
    <w:p w14:paraId="6CEE0A65" w14:textId="3B90E3AC" w:rsidR="00505317" w:rsidRDefault="00505317" w:rsidP="00E96CEE">
      <w:pPr>
        <w:pStyle w:val="ListParagraph"/>
        <w:ind w:left="1440"/>
      </w:pPr>
    </w:p>
    <w:p w14:paraId="0311AD25" w14:textId="77777777" w:rsidR="00020B4B" w:rsidRDefault="00020B4B" w:rsidP="00020B4B">
      <w:pPr>
        <w:pStyle w:val="ListParagraph"/>
        <w:numPr>
          <w:ilvl w:val="0"/>
          <w:numId w:val="3"/>
        </w:numPr>
      </w:pPr>
      <w:r w:rsidRPr="009543FD">
        <w:rPr>
          <w:u w:val="single"/>
        </w:rPr>
        <w:t>Full inclusion</w:t>
      </w:r>
      <w:r>
        <w:t xml:space="preserve"> of marine mammals</w:t>
      </w:r>
    </w:p>
    <w:p w14:paraId="582C2002" w14:textId="77777777" w:rsidR="00152286" w:rsidRDefault="00152286" w:rsidP="00152286">
      <w:pPr>
        <w:pStyle w:val="ListParagraph"/>
        <w:numPr>
          <w:ilvl w:val="1"/>
          <w:numId w:val="3"/>
        </w:numPr>
      </w:pPr>
      <w:r>
        <w:t>Pro: Treats marine mammals as other aquatic species that may be exposed to chemicals in state waters.</w:t>
      </w:r>
    </w:p>
    <w:p w14:paraId="240E9963" w14:textId="72F26382" w:rsidR="00152286" w:rsidRDefault="00152286" w:rsidP="00E85515">
      <w:pPr>
        <w:pStyle w:val="ListParagraph"/>
        <w:numPr>
          <w:ilvl w:val="1"/>
          <w:numId w:val="3"/>
        </w:numPr>
      </w:pPr>
      <w:r>
        <w:t xml:space="preserve">Con: </w:t>
      </w:r>
      <w:r w:rsidR="00E85515">
        <w:t>Will require extensive research on the part of DEC to develop appropriate bioaccumulation factor</w:t>
      </w:r>
      <w:r w:rsidR="006E4D85">
        <w:t>s for different tissue types (organs, blubber, muscle…)</w:t>
      </w:r>
      <w:r w:rsidR="00E85515">
        <w:t xml:space="preserve">. </w:t>
      </w:r>
    </w:p>
    <w:p w14:paraId="5F1F3AD6" w14:textId="77777777" w:rsidR="00E66555" w:rsidRPr="00E66555" w:rsidRDefault="00A95552" w:rsidP="00505317">
      <w:pPr>
        <w:rPr>
          <w:b/>
        </w:rPr>
      </w:pPr>
      <w:r>
        <w:rPr>
          <w:b/>
        </w:rPr>
        <w:t xml:space="preserve">II. </w:t>
      </w:r>
      <w:r w:rsidR="00E66555" w:rsidRPr="00E66555">
        <w:rPr>
          <w:b/>
        </w:rPr>
        <w:t>Bioaccumulation (BAF) options to consider</w:t>
      </w:r>
    </w:p>
    <w:p w14:paraId="3CBA78CD" w14:textId="157BCB79" w:rsidR="00881FB4" w:rsidRDefault="00E96CEE" w:rsidP="007D7659">
      <w:pPr>
        <w:pStyle w:val="ListParagraph"/>
        <w:numPr>
          <w:ilvl w:val="0"/>
          <w:numId w:val="4"/>
        </w:numPr>
      </w:pPr>
      <w:r>
        <w:t>If DEC chooses to e</w:t>
      </w:r>
      <w:r w:rsidR="00E85515">
        <w:t>xclude Marine Mammals</w:t>
      </w:r>
    </w:p>
    <w:p w14:paraId="224B3F44" w14:textId="3BC6CA07" w:rsidR="007D7659" w:rsidRDefault="007D7659" w:rsidP="007D7659">
      <w:pPr>
        <w:pStyle w:val="ListParagraph"/>
        <w:numPr>
          <w:ilvl w:val="1"/>
          <w:numId w:val="4"/>
        </w:numPr>
      </w:pPr>
      <w:r>
        <w:t>DEC would still need to either adopt EPA approach of using Trophic Level 2-4 values or adopt Trophic Level 4 (more conservative) approach</w:t>
      </w:r>
    </w:p>
    <w:p w14:paraId="58B92D28" w14:textId="6773C528" w:rsidR="003F090B" w:rsidRDefault="00E96CEE" w:rsidP="003F090B">
      <w:pPr>
        <w:pStyle w:val="ListParagraph"/>
        <w:numPr>
          <w:ilvl w:val="0"/>
          <w:numId w:val="4"/>
        </w:numPr>
      </w:pPr>
      <w:r>
        <w:t>If DEC chooses to i</w:t>
      </w:r>
      <w:r w:rsidR="007D7659">
        <w:t>nclude marine mammals and d</w:t>
      </w:r>
      <w:r w:rsidR="003F090B">
        <w:t xml:space="preserve">evelop </w:t>
      </w:r>
      <w:r w:rsidR="00E66555">
        <w:t xml:space="preserve">a </w:t>
      </w:r>
      <w:r w:rsidR="004424E3">
        <w:t>tissue</w:t>
      </w:r>
      <w:r w:rsidR="007D7659">
        <w:t xml:space="preserve"> specific</w:t>
      </w:r>
      <w:r w:rsidR="00E66555">
        <w:t xml:space="preserve">-adjusted BAF </w:t>
      </w:r>
    </w:p>
    <w:p w14:paraId="33978D88" w14:textId="1302290F" w:rsidR="00A95552" w:rsidRDefault="007D7659" w:rsidP="007D7659">
      <w:pPr>
        <w:pStyle w:val="ListParagraph"/>
        <w:numPr>
          <w:ilvl w:val="1"/>
          <w:numId w:val="4"/>
        </w:numPr>
      </w:pPr>
      <w:r>
        <w:t xml:space="preserve">May result in </w:t>
      </w:r>
      <w:r w:rsidR="00E96CEE">
        <w:t>a range of</w:t>
      </w:r>
      <w:r>
        <w:t xml:space="preserve"> BAF values depending on the tissue (e.g., blubber, liver)</w:t>
      </w:r>
      <w:r w:rsidR="00E96CEE">
        <w:t xml:space="preserve"> and other species specific information.</w:t>
      </w:r>
    </w:p>
    <w:p w14:paraId="57E06398" w14:textId="4F373950" w:rsidR="006E4D85" w:rsidRDefault="006E4D85" w:rsidP="007D7659">
      <w:pPr>
        <w:pStyle w:val="ListParagraph"/>
        <w:numPr>
          <w:ilvl w:val="1"/>
          <w:numId w:val="4"/>
        </w:numPr>
      </w:pPr>
      <w:r>
        <w:t>Consumption rates would also need to be determined for different tissues. This could be complicated by regional variations in the consumption of different tissues.</w:t>
      </w:r>
    </w:p>
    <w:p w14:paraId="54D489F6" w14:textId="54EDD620" w:rsidR="007D7659" w:rsidRPr="003F090B" w:rsidRDefault="007D7659" w:rsidP="007D7659">
      <w:pPr>
        <w:pStyle w:val="ListParagraph"/>
        <w:numPr>
          <w:ilvl w:val="1"/>
          <w:numId w:val="4"/>
        </w:numPr>
      </w:pPr>
      <w:r>
        <w:t>The science may be available but is generally outside of DEC’s expertise</w:t>
      </w:r>
      <w:r w:rsidR="00E96CEE">
        <w:t>.</w:t>
      </w:r>
    </w:p>
    <w:p w14:paraId="581D76DE" w14:textId="77777777" w:rsidR="002B3702" w:rsidRPr="008D329B" w:rsidRDefault="00A95552" w:rsidP="00505317">
      <w:pPr>
        <w:rPr>
          <w:b/>
        </w:rPr>
      </w:pPr>
      <w:r>
        <w:rPr>
          <w:b/>
        </w:rPr>
        <w:t xml:space="preserve">III. </w:t>
      </w:r>
      <w:r w:rsidR="002B3702" w:rsidRPr="008D329B">
        <w:rPr>
          <w:b/>
        </w:rPr>
        <w:t>Relative Source Contribution</w:t>
      </w:r>
      <w:r w:rsidR="008D329B" w:rsidRPr="008D329B">
        <w:rPr>
          <w:b/>
        </w:rPr>
        <w:t xml:space="preserve"> options to consider</w:t>
      </w:r>
    </w:p>
    <w:p w14:paraId="48EDAFED" w14:textId="049DDF83" w:rsidR="003F090B" w:rsidRDefault="008D0C86" w:rsidP="007D7659">
      <w:pPr>
        <w:pStyle w:val="ListParagraph"/>
        <w:numPr>
          <w:ilvl w:val="0"/>
          <w:numId w:val="5"/>
        </w:numPr>
      </w:pPr>
      <w:r>
        <w:t xml:space="preserve">Regardless of whether marine mammals are or are not adopted, the Relative Source Contribution </w:t>
      </w:r>
      <w:r w:rsidR="00E96CEE">
        <w:t xml:space="preserve">would </w:t>
      </w:r>
      <w:r>
        <w:t>remain at the EPA-recommended value of 0.2. This is due to the degree of uncertainty associated with exposure due to the consumption of various types of tissue from marine mammals.</w:t>
      </w:r>
      <w:r w:rsidR="00E96CEE">
        <w:t xml:space="preserve"> There is potential for this value to be revised on a site-specific basis should significantly less marine mammal consumption take place. </w:t>
      </w:r>
    </w:p>
    <w:p w14:paraId="4D877414" w14:textId="14254640" w:rsidR="00505317" w:rsidRDefault="00E96CEE" w:rsidP="003F090B">
      <w:r>
        <w:t>Other f</w:t>
      </w:r>
      <w:r w:rsidR="00A95552">
        <w:t>actors to consider:</w:t>
      </w:r>
    </w:p>
    <w:p w14:paraId="607CF0E4" w14:textId="11586CA7" w:rsidR="00D77586" w:rsidRDefault="00D77586" w:rsidP="00505317">
      <w:pPr>
        <w:pStyle w:val="ListParagraph"/>
        <w:numPr>
          <w:ilvl w:val="0"/>
          <w:numId w:val="2"/>
        </w:numPr>
      </w:pPr>
      <w:r>
        <w:t>At no time has EPA said that DEC must include marine mammals as part of FCR</w:t>
      </w:r>
      <w:r w:rsidR="008C1D0B">
        <w:t xml:space="preserve">. This was a question that DEC raised but </w:t>
      </w:r>
    </w:p>
    <w:p w14:paraId="06EBBADD" w14:textId="754CB6FF" w:rsidR="00466E30" w:rsidRDefault="00466E30" w:rsidP="00505317">
      <w:pPr>
        <w:pStyle w:val="ListParagraph"/>
        <w:numPr>
          <w:ilvl w:val="0"/>
          <w:numId w:val="2"/>
        </w:numPr>
      </w:pPr>
      <w:r>
        <w:t>Total exposure levels should remain below the reference dose</w:t>
      </w:r>
    </w:p>
    <w:p w14:paraId="34323B90" w14:textId="77777777" w:rsidR="00505317" w:rsidRDefault="00505317" w:rsidP="00505317">
      <w:pPr>
        <w:pStyle w:val="ListParagraph"/>
        <w:numPr>
          <w:ilvl w:val="0"/>
          <w:numId w:val="2"/>
        </w:numPr>
      </w:pPr>
      <w:r>
        <w:t>Not all marine mammals reside primary in state waters</w:t>
      </w:r>
    </w:p>
    <w:p w14:paraId="0623C9E6" w14:textId="2DBA2542" w:rsidR="00505317" w:rsidRDefault="00466E30" w:rsidP="00505317">
      <w:pPr>
        <w:pStyle w:val="ListParagraph"/>
        <w:numPr>
          <w:ilvl w:val="1"/>
          <w:numId w:val="2"/>
        </w:numPr>
      </w:pPr>
      <w:r>
        <w:t>Many belugas, seals, belugas, sea lions, and walrus do</w:t>
      </w:r>
    </w:p>
    <w:p w14:paraId="26053414" w14:textId="77777777" w:rsidR="00505317" w:rsidRDefault="00505317" w:rsidP="00505317">
      <w:pPr>
        <w:pStyle w:val="ListParagraph"/>
        <w:numPr>
          <w:ilvl w:val="1"/>
          <w:numId w:val="2"/>
        </w:numPr>
      </w:pPr>
      <w:r>
        <w:t>Bowhead do not</w:t>
      </w:r>
    </w:p>
    <w:p w14:paraId="452F8140" w14:textId="43FFE08D" w:rsidR="00505317" w:rsidRDefault="00505317" w:rsidP="00505317">
      <w:pPr>
        <w:pStyle w:val="ListParagraph"/>
        <w:numPr>
          <w:ilvl w:val="0"/>
          <w:numId w:val="2"/>
        </w:numPr>
      </w:pPr>
      <w:r>
        <w:t xml:space="preserve">Much of the literature focuses on </w:t>
      </w:r>
      <w:proofErr w:type="spellStart"/>
      <w:r>
        <w:t>MeHg</w:t>
      </w:r>
      <w:proofErr w:type="spellEnd"/>
      <w:r>
        <w:t xml:space="preserve"> </w:t>
      </w:r>
      <w:r w:rsidR="00466E30">
        <w:t>or legacy chemicals</w:t>
      </w:r>
      <w:r w:rsidR="006E4D85">
        <w:t xml:space="preserve">, most of which accumulate in the arctic by global distillation. </w:t>
      </w:r>
    </w:p>
    <w:p w14:paraId="4A7E56B5" w14:textId="4A566733" w:rsidR="00505317" w:rsidRDefault="00505317" w:rsidP="00505317">
      <w:pPr>
        <w:pStyle w:val="ListParagraph"/>
        <w:numPr>
          <w:ilvl w:val="0"/>
          <w:numId w:val="2"/>
        </w:numPr>
      </w:pPr>
      <w:r>
        <w:t xml:space="preserve">Chemicals </w:t>
      </w:r>
      <w:r w:rsidR="00FB1C70">
        <w:t>found in marine mammals have been documented to be</w:t>
      </w:r>
      <w:r>
        <w:t xml:space="preserve"> concentrated in certain body parts (liver, kidney) in certain species</w:t>
      </w:r>
      <w:r w:rsidR="006E4D85">
        <w:t>, and spanning large concentration ranges in a same type of tissue</w:t>
      </w:r>
      <w:r w:rsidR="00FB1C70">
        <w:t xml:space="preserve">. It is not possible to generalize </w:t>
      </w:r>
      <w:r w:rsidR="00A95552">
        <w:t xml:space="preserve">how chemicals with HHC affect marine mammals. </w:t>
      </w:r>
    </w:p>
    <w:p w14:paraId="6BD12B27" w14:textId="77777777" w:rsidR="00505317" w:rsidRDefault="00505317" w:rsidP="00505317">
      <w:pPr>
        <w:pStyle w:val="ListParagraph"/>
        <w:numPr>
          <w:ilvl w:val="0"/>
          <w:numId w:val="2"/>
        </w:numPr>
      </w:pPr>
      <w:r>
        <w:lastRenderedPageBreak/>
        <w:t>Majority of marine species from state waters that are regularly consumed are Trophic Level 3.8/4</w:t>
      </w:r>
    </w:p>
    <w:p w14:paraId="5271695C" w14:textId="77777777" w:rsidR="00D77586" w:rsidRDefault="00D77586" w:rsidP="00505317">
      <w:pPr>
        <w:pStyle w:val="ListParagraph"/>
        <w:numPr>
          <w:ilvl w:val="0"/>
          <w:numId w:val="2"/>
        </w:numPr>
      </w:pPr>
      <w:r>
        <w:t>Target Population concern</w:t>
      </w:r>
    </w:p>
    <w:p w14:paraId="63E3C15E" w14:textId="77777777" w:rsidR="00D77586" w:rsidRDefault="00D77586" w:rsidP="00D77586">
      <w:pPr>
        <w:pStyle w:val="ListParagraph"/>
        <w:numPr>
          <w:ilvl w:val="1"/>
          <w:numId w:val="2"/>
        </w:numPr>
      </w:pPr>
      <w:r>
        <w:t>Appears that high fish consuming populations are lower marine mammal consumers</w:t>
      </w:r>
    </w:p>
    <w:p w14:paraId="337E0FE9" w14:textId="77777777" w:rsidR="00D77586" w:rsidRDefault="00D77586" w:rsidP="00D77586">
      <w:pPr>
        <w:pStyle w:val="ListParagraph"/>
        <w:numPr>
          <w:ilvl w:val="1"/>
          <w:numId w:val="2"/>
        </w:numPr>
      </w:pPr>
      <w:r>
        <w:t>Inverse applies for high marine mammal consuming populations</w:t>
      </w:r>
    </w:p>
    <w:p w14:paraId="0635328B" w14:textId="4045ACFF" w:rsidR="009F06CF" w:rsidRDefault="00B75FB4" w:rsidP="002D0010">
      <w:pPr>
        <w:pStyle w:val="Heading2"/>
        <w:numPr>
          <w:ilvl w:val="0"/>
          <w:numId w:val="9"/>
        </w:numPr>
      </w:pPr>
      <w:r>
        <w:t>Preliminary</w:t>
      </w:r>
      <w:r w:rsidR="00A95552">
        <w:t xml:space="preserve"> Data from ADF&amp;G pertaining to marine mammal consumption</w:t>
      </w:r>
      <w:r>
        <w:t xml:space="preserve"> based on </w:t>
      </w:r>
      <w:r w:rsidR="00466E30">
        <w:t>Community Subsistence Information System</w:t>
      </w:r>
      <w:r>
        <w:t xml:space="preserve"> database</w:t>
      </w:r>
    </w:p>
    <w:p w14:paraId="41E0AA41" w14:textId="77777777" w:rsidR="001408C7" w:rsidRDefault="00412464">
      <w:r>
        <w:rPr>
          <w:noProof/>
        </w:rPr>
        <mc:AlternateContent>
          <mc:Choice Requires="wps">
            <w:drawing>
              <wp:anchor distT="0" distB="0" distL="114300" distR="114300" simplePos="0" relativeHeight="251659264" behindDoc="0" locked="0" layoutInCell="1" allowOverlap="1" wp14:anchorId="0C2820A6" wp14:editId="7A7941A4">
                <wp:simplePos x="0" y="0"/>
                <wp:positionH relativeFrom="column">
                  <wp:posOffset>3419475</wp:posOffset>
                </wp:positionH>
                <wp:positionV relativeFrom="paragraph">
                  <wp:posOffset>368935</wp:posOffset>
                </wp:positionV>
                <wp:extent cx="3028950" cy="15811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3028950" cy="1581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1885"/>
                              <w:gridCol w:w="2577"/>
                            </w:tblGrid>
                            <w:tr w:rsidR="00412464" w14:paraId="62253207" w14:textId="77777777" w:rsidTr="00412464">
                              <w:tc>
                                <w:tcPr>
                                  <w:tcW w:w="1885" w:type="dxa"/>
                                </w:tcPr>
                                <w:p w14:paraId="626F78C5" w14:textId="77777777" w:rsidR="00412464" w:rsidRDefault="00412464">
                                  <w:r>
                                    <w:t>Region</w:t>
                                  </w:r>
                                </w:p>
                              </w:tc>
                              <w:tc>
                                <w:tcPr>
                                  <w:tcW w:w="2577" w:type="dxa"/>
                                </w:tcPr>
                                <w:p w14:paraId="697900EB" w14:textId="77777777" w:rsidR="00412464" w:rsidRDefault="00B75FB4">
                                  <w:r>
                                    <w:t>Approx. c</w:t>
                                  </w:r>
                                  <w:r w:rsidR="00412464">
                                    <w:t>onsumption</w:t>
                                  </w:r>
                                  <w:r w:rsidR="00A95552">
                                    <w:t xml:space="preserve"> of marine mammals</w:t>
                                  </w:r>
                                  <w:r w:rsidR="00412464">
                                    <w:t xml:space="preserve"> in g/day</w:t>
                                  </w:r>
                                </w:p>
                              </w:tc>
                            </w:tr>
                            <w:tr w:rsidR="00412464" w14:paraId="126BFA78" w14:textId="77777777" w:rsidTr="00412464">
                              <w:tc>
                                <w:tcPr>
                                  <w:tcW w:w="1885" w:type="dxa"/>
                                </w:tcPr>
                                <w:p w14:paraId="47FD1DA5" w14:textId="77777777" w:rsidR="00412464" w:rsidRDefault="00412464">
                                  <w:r>
                                    <w:t>Southeast</w:t>
                                  </w:r>
                                </w:p>
                              </w:tc>
                              <w:tc>
                                <w:tcPr>
                                  <w:tcW w:w="2577" w:type="dxa"/>
                                </w:tcPr>
                                <w:p w14:paraId="54671A62" w14:textId="77777777" w:rsidR="00412464" w:rsidRDefault="00412464">
                                  <w:r>
                                    <w:t>3.23</w:t>
                                  </w:r>
                                </w:p>
                              </w:tc>
                            </w:tr>
                            <w:tr w:rsidR="00412464" w14:paraId="6DFC5A2B" w14:textId="77777777" w:rsidTr="00412464">
                              <w:tc>
                                <w:tcPr>
                                  <w:tcW w:w="1885" w:type="dxa"/>
                                </w:tcPr>
                                <w:p w14:paraId="53749167" w14:textId="77777777" w:rsidR="00412464" w:rsidRDefault="00412464">
                                  <w:r>
                                    <w:t>Southcentral</w:t>
                                  </w:r>
                                </w:p>
                              </w:tc>
                              <w:tc>
                                <w:tcPr>
                                  <w:tcW w:w="2577" w:type="dxa"/>
                                </w:tcPr>
                                <w:p w14:paraId="39FB0505" w14:textId="77777777" w:rsidR="00412464" w:rsidRDefault="00412464">
                                  <w:r>
                                    <w:t>1.86</w:t>
                                  </w:r>
                                </w:p>
                              </w:tc>
                            </w:tr>
                            <w:tr w:rsidR="00412464" w14:paraId="22576404" w14:textId="77777777" w:rsidTr="00412464">
                              <w:tc>
                                <w:tcPr>
                                  <w:tcW w:w="1885" w:type="dxa"/>
                                </w:tcPr>
                                <w:p w14:paraId="051C1D29" w14:textId="77777777" w:rsidR="00412464" w:rsidRDefault="00412464">
                                  <w:r>
                                    <w:t>Southwest</w:t>
                                  </w:r>
                                </w:p>
                              </w:tc>
                              <w:tc>
                                <w:tcPr>
                                  <w:tcW w:w="2577" w:type="dxa"/>
                                </w:tcPr>
                                <w:p w14:paraId="229752FC" w14:textId="77777777" w:rsidR="00412464" w:rsidRDefault="00806FC6" w:rsidP="00806FC6">
                                  <w:r>
                                    <w:t>0.50</w:t>
                                  </w:r>
                                </w:p>
                              </w:tc>
                            </w:tr>
                            <w:tr w:rsidR="00412464" w14:paraId="10D67F6A" w14:textId="77777777" w:rsidTr="00412464">
                              <w:tc>
                                <w:tcPr>
                                  <w:tcW w:w="1885" w:type="dxa"/>
                                </w:tcPr>
                                <w:p w14:paraId="0DA4B876" w14:textId="77777777" w:rsidR="00412464" w:rsidRDefault="00412464">
                                  <w:r>
                                    <w:t>Western</w:t>
                                  </w:r>
                                </w:p>
                              </w:tc>
                              <w:tc>
                                <w:tcPr>
                                  <w:tcW w:w="2577" w:type="dxa"/>
                                </w:tcPr>
                                <w:p w14:paraId="03453387" w14:textId="77777777" w:rsidR="00412464" w:rsidRDefault="00806FC6">
                                  <w:r>
                                    <w:t>22.62</w:t>
                                  </w:r>
                                </w:p>
                              </w:tc>
                            </w:tr>
                            <w:tr w:rsidR="00412464" w14:paraId="05984244" w14:textId="77777777" w:rsidTr="00412464">
                              <w:tc>
                                <w:tcPr>
                                  <w:tcW w:w="1885" w:type="dxa"/>
                                </w:tcPr>
                                <w:p w14:paraId="0FE2AFEC" w14:textId="77777777" w:rsidR="00412464" w:rsidRDefault="00412464">
                                  <w:r>
                                    <w:t>Arctic</w:t>
                                  </w:r>
                                </w:p>
                              </w:tc>
                              <w:tc>
                                <w:tcPr>
                                  <w:tcW w:w="2577" w:type="dxa"/>
                                </w:tcPr>
                                <w:p w14:paraId="0683B3E0" w14:textId="77777777" w:rsidR="00412464" w:rsidRDefault="00806FC6">
                                  <w:r>
                                    <w:t>145.77</w:t>
                                  </w:r>
                                </w:p>
                              </w:tc>
                            </w:tr>
                            <w:tr w:rsidR="00412464" w14:paraId="03EEECE8" w14:textId="77777777" w:rsidTr="00412464">
                              <w:tc>
                                <w:tcPr>
                                  <w:tcW w:w="1885" w:type="dxa"/>
                                </w:tcPr>
                                <w:p w14:paraId="3D32CC6C" w14:textId="77777777" w:rsidR="00412464" w:rsidRDefault="00412464">
                                  <w:r>
                                    <w:t>Interior</w:t>
                                  </w:r>
                                </w:p>
                              </w:tc>
                              <w:tc>
                                <w:tcPr>
                                  <w:tcW w:w="2577" w:type="dxa"/>
                                </w:tcPr>
                                <w:p w14:paraId="60D91B08" w14:textId="77777777" w:rsidR="00412464" w:rsidRDefault="00806FC6">
                                  <w:r>
                                    <w:t>0</w:t>
                                  </w:r>
                                </w:p>
                              </w:tc>
                            </w:tr>
                          </w:tbl>
                          <w:p w14:paraId="00034272" w14:textId="77777777" w:rsidR="00412464" w:rsidRDefault="004124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2820A6" id="_x0000_t202" coordsize="21600,21600" o:spt="202" path="m,l,21600r21600,l21600,xe">
                <v:stroke joinstyle="miter"/>
                <v:path gradientshapeok="t" o:connecttype="rect"/>
              </v:shapetype>
              <v:shape id="Text Box 2" o:spid="_x0000_s1026" type="#_x0000_t202" style="position:absolute;margin-left:269.25pt;margin-top:29.05pt;width:238.5pt;height:12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" fillcolor="white [3201]" strokeweight=".5pt">
                <v:textbox>
                  <w:txbxContent>
                    <w:tbl>
                      <w:tblPr>
                        <w:tblStyle w:val="TableGrid"/>
                        <w:tblW w:w="0" w:type="auto"/>
                        <w:tblLook w:val="04A0" w:firstRow="1" w:lastRow="0" w:firstColumn="1" w:lastColumn="0" w:noHBand="0" w:noVBand="1"/>
                      </w:tblPr>
                      <w:tblGrid>
                        <w:gridCol w:w="1885"/>
                        <w:gridCol w:w="2577"/>
                      </w:tblGrid>
                      <w:tr w:rsidR="00412464" w14:paraId="62253207" w14:textId="77777777" w:rsidTr="00412464">
                        <w:tc>
                          <w:tcPr>
                            <w:tcW w:w="1885" w:type="dxa"/>
                          </w:tcPr>
                          <w:p w14:paraId="626F78C5" w14:textId="77777777" w:rsidR="00412464" w:rsidRDefault="00412464">
                            <w:r>
                              <w:t>Region</w:t>
                            </w:r>
                          </w:p>
                        </w:tc>
                        <w:tc>
                          <w:tcPr>
                            <w:tcW w:w="2577" w:type="dxa"/>
                          </w:tcPr>
                          <w:p w14:paraId="697900EB" w14:textId="77777777" w:rsidR="00412464" w:rsidRDefault="00B75FB4">
                            <w:r>
                              <w:t>Approx. c</w:t>
                            </w:r>
                            <w:r w:rsidR="00412464">
                              <w:t>onsumption</w:t>
                            </w:r>
                            <w:r w:rsidR="00A95552">
                              <w:t xml:space="preserve"> of marine mammals</w:t>
                            </w:r>
                            <w:r w:rsidR="00412464">
                              <w:t xml:space="preserve"> in g/day</w:t>
                            </w:r>
                          </w:p>
                        </w:tc>
                      </w:tr>
                      <w:tr w:rsidR="00412464" w14:paraId="126BFA78" w14:textId="77777777" w:rsidTr="00412464">
                        <w:tc>
                          <w:tcPr>
                            <w:tcW w:w="1885" w:type="dxa"/>
                          </w:tcPr>
                          <w:p w14:paraId="47FD1DA5" w14:textId="77777777" w:rsidR="00412464" w:rsidRDefault="00412464">
                            <w:r>
                              <w:t>Southeast</w:t>
                            </w:r>
                          </w:p>
                        </w:tc>
                        <w:tc>
                          <w:tcPr>
                            <w:tcW w:w="2577" w:type="dxa"/>
                          </w:tcPr>
                          <w:p w14:paraId="54671A62" w14:textId="77777777" w:rsidR="00412464" w:rsidRDefault="00412464">
                            <w:r>
                              <w:t>3.23</w:t>
                            </w:r>
                          </w:p>
                        </w:tc>
                      </w:tr>
                      <w:tr w:rsidR="00412464" w14:paraId="6DFC5A2B" w14:textId="77777777" w:rsidTr="00412464">
                        <w:tc>
                          <w:tcPr>
                            <w:tcW w:w="1885" w:type="dxa"/>
                          </w:tcPr>
                          <w:p w14:paraId="53749167" w14:textId="77777777" w:rsidR="00412464" w:rsidRDefault="00412464">
                            <w:r>
                              <w:t>Southcentral</w:t>
                            </w:r>
                          </w:p>
                        </w:tc>
                        <w:tc>
                          <w:tcPr>
                            <w:tcW w:w="2577" w:type="dxa"/>
                          </w:tcPr>
                          <w:p w14:paraId="39FB0505" w14:textId="77777777" w:rsidR="00412464" w:rsidRDefault="00412464">
                            <w:r>
                              <w:t>1.86</w:t>
                            </w:r>
                          </w:p>
                        </w:tc>
                      </w:tr>
                      <w:tr w:rsidR="00412464" w14:paraId="22576404" w14:textId="77777777" w:rsidTr="00412464">
                        <w:tc>
                          <w:tcPr>
                            <w:tcW w:w="1885" w:type="dxa"/>
                          </w:tcPr>
                          <w:p w14:paraId="051C1D29" w14:textId="77777777" w:rsidR="00412464" w:rsidRDefault="00412464">
                            <w:r>
                              <w:t>Southwest</w:t>
                            </w:r>
                          </w:p>
                        </w:tc>
                        <w:tc>
                          <w:tcPr>
                            <w:tcW w:w="2577" w:type="dxa"/>
                          </w:tcPr>
                          <w:p w14:paraId="229752FC" w14:textId="77777777" w:rsidR="00412464" w:rsidRDefault="00806FC6" w:rsidP="00806FC6">
                            <w:r>
                              <w:t>0.50</w:t>
                            </w:r>
                          </w:p>
                        </w:tc>
                      </w:tr>
                      <w:tr w:rsidR="00412464" w14:paraId="10D67F6A" w14:textId="77777777" w:rsidTr="00412464">
                        <w:tc>
                          <w:tcPr>
                            <w:tcW w:w="1885" w:type="dxa"/>
                          </w:tcPr>
                          <w:p w14:paraId="0DA4B876" w14:textId="77777777" w:rsidR="00412464" w:rsidRDefault="00412464">
                            <w:r>
                              <w:t>Western</w:t>
                            </w:r>
                          </w:p>
                        </w:tc>
                        <w:tc>
                          <w:tcPr>
                            <w:tcW w:w="2577" w:type="dxa"/>
                          </w:tcPr>
                          <w:p w14:paraId="03453387" w14:textId="77777777" w:rsidR="00412464" w:rsidRDefault="00806FC6">
                            <w:r>
                              <w:t>22.62</w:t>
                            </w:r>
                          </w:p>
                        </w:tc>
                      </w:tr>
                      <w:tr w:rsidR="00412464" w14:paraId="05984244" w14:textId="77777777" w:rsidTr="00412464">
                        <w:tc>
                          <w:tcPr>
                            <w:tcW w:w="1885" w:type="dxa"/>
                          </w:tcPr>
                          <w:p w14:paraId="0FE2AFEC" w14:textId="77777777" w:rsidR="00412464" w:rsidRDefault="00412464">
                            <w:r>
                              <w:t>Arctic</w:t>
                            </w:r>
                          </w:p>
                        </w:tc>
                        <w:tc>
                          <w:tcPr>
                            <w:tcW w:w="2577" w:type="dxa"/>
                          </w:tcPr>
                          <w:p w14:paraId="0683B3E0" w14:textId="77777777" w:rsidR="00412464" w:rsidRDefault="00806FC6">
                            <w:r>
                              <w:t>145.77</w:t>
                            </w:r>
                          </w:p>
                        </w:tc>
                      </w:tr>
                      <w:tr w:rsidR="00412464" w14:paraId="03EEECE8" w14:textId="77777777" w:rsidTr="00412464">
                        <w:tc>
                          <w:tcPr>
                            <w:tcW w:w="1885" w:type="dxa"/>
                          </w:tcPr>
                          <w:p w14:paraId="3D32CC6C" w14:textId="77777777" w:rsidR="00412464" w:rsidRDefault="00412464">
                            <w:r>
                              <w:t>Interior</w:t>
                            </w:r>
                          </w:p>
                        </w:tc>
                        <w:tc>
                          <w:tcPr>
                            <w:tcW w:w="2577" w:type="dxa"/>
                          </w:tcPr>
                          <w:p w14:paraId="60D91B08" w14:textId="77777777" w:rsidR="00412464" w:rsidRDefault="00806FC6">
                            <w:r>
                              <w:t>0</w:t>
                            </w:r>
                          </w:p>
                        </w:tc>
                      </w:tr>
                    </w:tbl>
                    <w:p w14:paraId="00034272" w14:textId="77777777" w:rsidR="00412464" w:rsidRDefault="00412464"/>
                  </w:txbxContent>
                </v:textbox>
              </v:shape>
            </w:pict>
          </mc:Fallback>
        </mc:AlternateContent>
      </w:r>
      <w:r w:rsidR="001408C7">
        <w:rPr>
          <w:noProof/>
        </w:rPr>
        <w:drawing>
          <wp:inline distT="0" distB="0" distL="0" distR="0" wp14:anchorId="18D81968" wp14:editId="355362C1">
            <wp:extent cx="3657600" cy="251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57600" cy="2514600"/>
                    </a:xfrm>
                    <a:prstGeom prst="rect">
                      <a:avLst/>
                    </a:prstGeom>
                  </pic:spPr>
                </pic:pic>
              </a:graphicData>
            </a:graphic>
          </wp:inline>
        </w:drawing>
      </w:r>
    </w:p>
    <w:p w14:paraId="62F05C73" w14:textId="77777777" w:rsidR="00806FC6" w:rsidRDefault="00806FC6">
      <w:r>
        <w:t xml:space="preserve">Comments: Would be beneficial to see these values when only consumers are noted- similar to what we are proposing for a statewide target population. </w:t>
      </w:r>
    </w:p>
    <w:p w14:paraId="3A1783A4" w14:textId="4C0A905F" w:rsidR="00806FC6" w:rsidRDefault="00806FC6">
      <w:pPr>
        <w:rPr>
          <w:b/>
        </w:rPr>
      </w:pPr>
      <w:r>
        <w:rPr>
          <w:b/>
        </w:rPr>
        <w:t>Consumption by Species</w:t>
      </w:r>
      <w:r w:rsidR="00A95552">
        <w:rPr>
          <w:b/>
        </w:rPr>
        <w:t xml:space="preserve"> by </w:t>
      </w:r>
      <w:r w:rsidR="00466E30">
        <w:rPr>
          <w:b/>
        </w:rPr>
        <w:t xml:space="preserve">Consumers within that </w:t>
      </w:r>
      <w:r w:rsidR="00A95552">
        <w:rPr>
          <w:b/>
        </w:rPr>
        <w:t>Region</w:t>
      </w:r>
    </w:p>
    <w:tbl>
      <w:tblPr>
        <w:tblStyle w:val="TableGrid"/>
        <w:tblW w:w="0" w:type="auto"/>
        <w:tblLook w:val="04A0" w:firstRow="1" w:lastRow="0" w:firstColumn="1" w:lastColumn="0" w:noHBand="0" w:noVBand="1"/>
      </w:tblPr>
      <w:tblGrid>
        <w:gridCol w:w="3274"/>
        <w:gridCol w:w="2791"/>
        <w:gridCol w:w="3285"/>
      </w:tblGrid>
      <w:tr w:rsidR="004A28DC" w:rsidRPr="00806FC6" w14:paraId="086269A8" w14:textId="77777777" w:rsidTr="004A28DC">
        <w:tc>
          <w:tcPr>
            <w:tcW w:w="3274" w:type="dxa"/>
          </w:tcPr>
          <w:p w14:paraId="3321F894" w14:textId="77777777" w:rsidR="004A28DC" w:rsidRPr="00806FC6" w:rsidRDefault="004A28DC" w:rsidP="004A28DC">
            <w:r>
              <w:t>Region</w:t>
            </w:r>
          </w:p>
        </w:tc>
        <w:tc>
          <w:tcPr>
            <w:tcW w:w="2791" w:type="dxa"/>
          </w:tcPr>
          <w:p w14:paraId="394A22FA" w14:textId="77777777" w:rsidR="004A28DC" w:rsidRDefault="004A28DC">
            <w:r>
              <w:t>Used</w:t>
            </w:r>
          </w:p>
        </w:tc>
        <w:tc>
          <w:tcPr>
            <w:tcW w:w="3285" w:type="dxa"/>
          </w:tcPr>
          <w:p w14:paraId="6C2CA929" w14:textId="77777777" w:rsidR="004A28DC" w:rsidRPr="00806FC6" w:rsidRDefault="004A28DC">
            <w:r>
              <w:t xml:space="preserve">Value derived from Per Capita </w:t>
            </w:r>
            <w:proofErr w:type="spellStart"/>
            <w:r>
              <w:t>Lbs</w:t>
            </w:r>
            <w:proofErr w:type="spellEnd"/>
          </w:p>
        </w:tc>
      </w:tr>
      <w:tr w:rsidR="004A28DC" w:rsidRPr="00806FC6" w14:paraId="168375BE" w14:textId="77777777" w:rsidTr="004A28DC">
        <w:tc>
          <w:tcPr>
            <w:tcW w:w="3274" w:type="dxa"/>
          </w:tcPr>
          <w:p w14:paraId="427C0AE7" w14:textId="77777777" w:rsidR="004A28DC" w:rsidRPr="00806FC6" w:rsidRDefault="004A28DC" w:rsidP="004A28DC">
            <w:r w:rsidRPr="00806FC6">
              <w:t>Southeast</w:t>
            </w:r>
            <w:r>
              <w:t xml:space="preserve"> </w:t>
            </w:r>
          </w:p>
        </w:tc>
        <w:tc>
          <w:tcPr>
            <w:tcW w:w="2791" w:type="dxa"/>
          </w:tcPr>
          <w:p w14:paraId="2BBB1497" w14:textId="77777777" w:rsidR="004A28DC" w:rsidRPr="00806FC6" w:rsidRDefault="004A28DC">
            <w:r>
              <w:t>Harbor Seal (19.8%)</w:t>
            </w:r>
          </w:p>
        </w:tc>
        <w:tc>
          <w:tcPr>
            <w:tcW w:w="3285" w:type="dxa"/>
          </w:tcPr>
          <w:p w14:paraId="4311A212" w14:textId="77777777" w:rsidR="004A28DC" w:rsidRPr="00806FC6" w:rsidRDefault="004A28DC">
            <w:r w:rsidRPr="00806FC6">
              <w:t xml:space="preserve">Harbor Seal </w:t>
            </w:r>
            <w:r>
              <w:t>(100%)</w:t>
            </w:r>
          </w:p>
        </w:tc>
      </w:tr>
      <w:tr w:rsidR="004A28DC" w:rsidRPr="00806FC6" w14:paraId="2DD9C2D9" w14:textId="77777777" w:rsidTr="004A28DC">
        <w:tc>
          <w:tcPr>
            <w:tcW w:w="3274" w:type="dxa"/>
          </w:tcPr>
          <w:p w14:paraId="4C48AE66" w14:textId="77777777" w:rsidR="004A28DC" w:rsidRPr="00806FC6" w:rsidRDefault="004A28DC" w:rsidP="004A28DC">
            <w:r>
              <w:t xml:space="preserve">Southcentral </w:t>
            </w:r>
          </w:p>
        </w:tc>
        <w:tc>
          <w:tcPr>
            <w:tcW w:w="2791" w:type="dxa"/>
          </w:tcPr>
          <w:p w14:paraId="1B57579F" w14:textId="77777777" w:rsidR="004A28DC" w:rsidRDefault="004A28DC">
            <w:r>
              <w:t>Harbor Seal (9.9%)</w:t>
            </w:r>
          </w:p>
          <w:p w14:paraId="00C93D11" w14:textId="77777777" w:rsidR="004A28DC" w:rsidRDefault="004A28DC">
            <w:r>
              <w:t>Stellar Sea Lion (3.0%)</w:t>
            </w:r>
          </w:p>
        </w:tc>
        <w:tc>
          <w:tcPr>
            <w:tcW w:w="3285" w:type="dxa"/>
          </w:tcPr>
          <w:p w14:paraId="43386189" w14:textId="77777777" w:rsidR="004A28DC" w:rsidRDefault="004A28DC">
            <w:r>
              <w:t>Harbor Seal (70%)</w:t>
            </w:r>
          </w:p>
          <w:p w14:paraId="65028CA0" w14:textId="77777777" w:rsidR="004A28DC" w:rsidRPr="00806FC6" w:rsidRDefault="004A28DC">
            <w:r>
              <w:t>Stellar Sea Lion (30%)</w:t>
            </w:r>
          </w:p>
        </w:tc>
      </w:tr>
      <w:tr w:rsidR="004A28DC" w:rsidRPr="00806FC6" w14:paraId="42A91D19" w14:textId="77777777" w:rsidTr="004A28DC">
        <w:tc>
          <w:tcPr>
            <w:tcW w:w="3274" w:type="dxa"/>
          </w:tcPr>
          <w:p w14:paraId="1614C7D1" w14:textId="77777777" w:rsidR="004A28DC" w:rsidRPr="00806FC6" w:rsidRDefault="004A28DC" w:rsidP="004A28DC">
            <w:r>
              <w:t xml:space="preserve">Southwest </w:t>
            </w:r>
          </w:p>
        </w:tc>
        <w:tc>
          <w:tcPr>
            <w:tcW w:w="2791" w:type="dxa"/>
          </w:tcPr>
          <w:p w14:paraId="36424D41" w14:textId="77777777" w:rsidR="004A28DC" w:rsidRDefault="004A28DC">
            <w:r>
              <w:t>Beluga (9.8%)</w:t>
            </w:r>
          </w:p>
        </w:tc>
        <w:tc>
          <w:tcPr>
            <w:tcW w:w="3285" w:type="dxa"/>
          </w:tcPr>
          <w:p w14:paraId="289A9686" w14:textId="77777777" w:rsidR="004A28DC" w:rsidRDefault="004A28DC">
            <w:r>
              <w:t>Beluga (100%)</w:t>
            </w:r>
          </w:p>
          <w:p w14:paraId="4D8D5956" w14:textId="7E441F74" w:rsidR="00AA0F57" w:rsidRPr="00806FC6" w:rsidRDefault="00AA0F57" w:rsidP="00DE335F">
            <w:r>
              <w:t>NOTE: This seems odd since seals/sea lions are commonly taken for subsistence on Kodiak</w:t>
            </w:r>
            <w:r>
              <w:rPr>
                <w:rStyle w:val="FootnoteReference"/>
              </w:rPr>
              <w:footnoteReference w:id="2"/>
            </w:r>
            <w:r>
              <w:t xml:space="preserve">. </w:t>
            </w:r>
          </w:p>
        </w:tc>
      </w:tr>
      <w:tr w:rsidR="004A28DC" w:rsidRPr="00806FC6" w14:paraId="03AFD186" w14:textId="77777777" w:rsidTr="004A28DC">
        <w:tc>
          <w:tcPr>
            <w:tcW w:w="3274" w:type="dxa"/>
          </w:tcPr>
          <w:p w14:paraId="6CCE0E4A" w14:textId="77777777" w:rsidR="004A28DC" w:rsidRPr="00806FC6" w:rsidRDefault="004A28DC">
            <w:r>
              <w:t>Western</w:t>
            </w:r>
          </w:p>
        </w:tc>
        <w:tc>
          <w:tcPr>
            <w:tcW w:w="2791" w:type="dxa"/>
          </w:tcPr>
          <w:p w14:paraId="38070E4A" w14:textId="77777777" w:rsidR="004A28DC" w:rsidRDefault="004A28DC" w:rsidP="004A28DC">
            <w:r>
              <w:t>Bearded Seal (19.3%)</w:t>
            </w:r>
          </w:p>
          <w:p w14:paraId="01BC0BD2" w14:textId="77777777" w:rsidR="004A28DC" w:rsidRDefault="00F84122" w:rsidP="004A28DC">
            <w:r>
              <w:t>Ribbon Seal (2.8</w:t>
            </w:r>
            <w:r w:rsidR="004A28DC">
              <w:t>%)</w:t>
            </w:r>
          </w:p>
          <w:p w14:paraId="261E3016" w14:textId="77777777" w:rsidR="004A28DC" w:rsidRDefault="00F84122" w:rsidP="004A28DC">
            <w:r>
              <w:t>Ringed Seal (15.4</w:t>
            </w:r>
            <w:r w:rsidR="004A28DC">
              <w:t>%)</w:t>
            </w:r>
          </w:p>
          <w:p w14:paraId="6F2789B1" w14:textId="77777777" w:rsidR="004A28DC" w:rsidRDefault="00F84122" w:rsidP="004A28DC">
            <w:r>
              <w:t>Spotted Seal (20.8</w:t>
            </w:r>
            <w:r w:rsidR="004A28DC">
              <w:t>%)</w:t>
            </w:r>
          </w:p>
          <w:p w14:paraId="5ADA4A01" w14:textId="77777777" w:rsidR="004A28DC" w:rsidRDefault="00F84122" w:rsidP="004A28DC">
            <w:r>
              <w:t>Walrus (13.3</w:t>
            </w:r>
            <w:r w:rsidR="004A28DC">
              <w:t>%)</w:t>
            </w:r>
          </w:p>
          <w:p w14:paraId="0355E833" w14:textId="77777777" w:rsidR="004A28DC" w:rsidRDefault="004A28DC" w:rsidP="004A28DC">
            <w:r>
              <w:lastRenderedPageBreak/>
              <w:t>Belu</w:t>
            </w:r>
            <w:r w:rsidR="00F84122">
              <w:t>ga (17.6</w:t>
            </w:r>
            <w:r>
              <w:t>%)</w:t>
            </w:r>
          </w:p>
        </w:tc>
        <w:tc>
          <w:tcPr>
            <w:tcW w:w="3285" w:type="dxa"/>
          </w:tcPr>
          <w:p w14:paraId="11B9AC38" w14:textId="77777777" w:rsidR="004A28DC" w:rsidRDefault="004A28DC">
            <w:r>
              <w:lastRenderedPageBreak/>
              <w:t>Bearded Seal (33%)</w:t>
            </w:r>
          </w:p>
          <w:p w14:paraId="1B10A2F5" w14:textId="77777777" w:rsidR="004A28DC" w:rsidRDefault="004A28DC">
            <w:r>
              <w:t>Ribbon Seal (.5%)</w:t>
            </w:r>
          </w:p>
          <w:p w14:paraId="684856D6" w14:textId="77777777" w:rsidR="004A28DC" w:rsidRDefault="004A28DC">
            <w:r>
              <w:t>Ringed Seal (14%)</w:t>
            </w:r>
          </w:p>
          <w:p w14:paraId="3A3834AC" w14:textId="77777777" w:rsidR="004A28DC" w:rsidRDefault="004A28DC">
            <w:r>
              <w:t>Spotted Seal (19%)</w:t>
            </w:r>
          </w:p>
          <w:p w14:paraId="194977AA" w14:textId="77777777" w:rsidR="004A28DC" w:rsidRDefault="004A28DC">
            <w:r>
              <w:t>Walrus (14%)</w:t>
            </w:r>
          </w:p>
          <w:p w14:paraId="32806BAE" w14:textId="77777777" w:rsidR="004A28DC" w:rsidRPr="00806FC6" w:rsidRDefault="004A28DC">
            <w:r>
              <w:lastRenderedPageBreak/>
              <w:t>Beluga (19%)</w:t>
            </w:r>
          </w:p>
        </w:tc>
      </w:tr>
      <w:tr w:rsidR="004A28DC" w:rsidRPr="00806FC6" w14:paraId="12B9CA55" w14:textId="77777777" w:rsidTr="004A28DC">
        <w:tc>
          <w:tcPr>
            <w:tcW w:w="3274" w:type="dxa"/>
          </w:tcPr>
          <w:p w14:paraId="0B05B6F5" w14:textId="77777777" w:rsidR="004A28DC" w:rsidRPr="00806FC6" w:rsidRDefault="004A28DC">
            <w:r>
              <w:lastRenderedPageBreak/>
              <w:t>Arctic</w:t>
            </w:r>
          </w:p>
        </w:tc>
        <w:tc>
          <w:tcPr>
            <w:tcW w:w="2791" w:type="dxa"/>
          </w:tcPr>
          <w:p w14:paraId="75488E19" w14:textId="77777777" w:rsidR="00F84122" w:rsidRDefault="00F84122" w:rsidP="00F84122">
            <w:r>
              <w:t xml:space="preserve">Polar Bear (6.7%) </w:t>
            </w:r>
          </w:p>
          <w:p w14:paraId="7B803EA7" w14:textId="77777777" w:rsidR="00F84122" w:rsidRDefault="00F84122" w:rsidP="00F84122">
            <w:r>
              <w:t>Bearded Seal (41%)</w:t>
            </w:r>
          </w:p>
          <w:p w14:paraId="01F08A54" w14:textId="77777777" w:rsidR="00F84122" w:rsidRDefault="00F84122" w:rsidP="00F84122">
            <w:r>
              <w:t>Ringed Seal (0.9%)</w:t>
            </w:r>
          </w:p>
          <w:p w14:paraId="03F75D29" w14:textId="77777777" w:rsidR="00F84122" w:rsidRDefault="00F84122" w:rsidP="00F84122">
            <w:r>
              <w:t>Spotted Seal (11.6%)</w:t>
            </w:r>
          </w:p>
          <w:p w14:paraId="43BD9A8E" w14:textId="77777777" w:rsidR="00F84122" w:rsidRPr="00F9722E" w:rsidRDefault="00F84122" w:rsidP="00F84122">
            <w:pPr>
              <w:rPr>
                <w:i/>
              </w:rPr>
            </w:pPr>
            <w:r>
              <w:t xml:space="preserve">Sea Otter (0.5%) </w:t>
            </w:r>
          </w:p>
          <w:p w14:paraId="5BDF0DF2" w14:textId="77777777" w:rsidR="00F84122" w:rsidRDefault="00F84122" w:rsidP="00F84122">
            <w:r>
              <w:t>Beluga 32.4%)</w:t>
            </w:r>
          </w:p>
          <w:p w14:paraId="1726DBB3" w14:textId="77777777" w:rsidR="004A28DC" w:rsidRDefault="00F84122" w:rsidP="00F84122">
            <w:r>
              <w:t>Bowhead (48.9%)</w:t>
            </w:r>
          </w:p>
        </w:tc>
        <w:tc>
          <w:tcPr>
            <w:tcW w:w="3285" w:type="dxa"/>
          </w:tcPr>
          <w:p w14:paraId="48C73340" w14:textId="77777777" w:rsidR="004A28DC" w:rsidRDefault="004A28DC">
            <w:r>
              <w:t xml:space="preserve">Polar Bear (0.6%) </w:t>
            </w:r>
            <w:r w:rsidRPr="00F9722E">
              <w:rPr>
                <w:i/>
                <w:color w:val="FF0000"/>
              </w:rPr>
              <w:t>consumed?</w:t>
            </w:r>
          </w:p>
          <w:p w14:paraId="1D05F432" w14:textId="77777777" w:rsidR="004A28DC" w:rsidRDefault="004A28DC">
            <w:r>
              <w:t>Bearded Seal (29%)</w:t>
            </w:r>
          </w:p>
          <w:p w14:paraId="0875E2C2" w14:textId="77777777" w:rsidR="004A28DC" w:rsidRDefault="004A28DC">
            <w:r>
              <w:t>Ringed Seal (3%)</w:t>
            </w:r>
          </w:p>
          <w:p w14:paraId="2D88CF9F" w14:textId="77777777" w:rsidR="004A28DC" w:rsidRDefault="004A28DC">
            <w:r>
              <w:t>Spotted Seal (6%)</w:t>
            </w:r>
          </w:p>
          <w:p w14:paraId="7491C181" w14:textId="77777777" w:rsidR="004A28DC" w:rsidRPr="00F9722E" w:rsidRDefault="004A28DC">
            <w:pPr>
              <w:rPr>
                <w:i/>
              </w:rPr>
            </w:pPr>
            <w:r>
              <w:t xml:space="preserve">Sea Otter (12%) </w:t>
            </w:r>
            <w:r w:rsidRPr="00F9722E">
              <w:rPr>
                <w:i/>
                <w:color w:val="FF0000"/>
              </w:rPr>
              <w:t>consumed?</w:t>
            </w:r>
          </w:p>
          <w:p w14:paraId="16B95B4A" w14:textId="77777777" w:rsidR="004A28DC" w:rsidRDefault="004A28DC">
            <w:r>
              <w:t>Beluga (5%)</w:t>
            </w:r>
          </w:p>
          <w:p w14:paraId="5FEFEF3C" w14:textId="77777777" w:rsidR="004A28DC" w:rsidRPr="00806FC6" w:rsidRDefault="004A28DC">
            <w:r>
              <w:t>Bowhead (47%)</w:t>
            </w:r>
          </w:p>
        </w:tc>
      </w:tr>
      <w:tr w:rsidR="004A28DC" w:rsidRPr="00806FC6" w14:paraId="6D9B00A3" w14:textId="77777777" w:rsidTr="004A28DC">
        <w:tc>
          <w:tcPr>
            <w:tcW w:w="3274" w:type="dxa"/>
          </w:tcPr>
          <w:p w14:paraId="7C93EA2E" w14:textId="77777777" w:rsidR="004A28DC" w:rsidRDefault="004A28DC" w:rsidP="00F84122">
            <w:r>
              <w:t xml:space="preserve">Interior </w:t>
            </w:r>
          </w:p>
        </w:tc>
        <w:tc>
          <w:tcPr>
            <w:tcW w:w="2791" w:type="dxa"/>
          </w:tcPr>
          <w:p w14:paraId="518BD59B" w14:textId="77777777" w:rsidR="004A28DC" w:rsidRDefault="00F84122" w:rsidP="00F84122">
            <w:r>
              <w:t>(43% of total pop recorded use)</w:t>
            </w:r>
            <w:r w:rsidR="00505317">
              <w:t xml:space="preserve"> Assumes most of this is via trading rather than actual take</w:t>
            </w:r>
          </w:p>
        </w:tc>
        <w:tc>
          <w:tcPr>
            <w:tcW w:w="3285" w:type="dxa"/>
          </w:tcPr>
          <w:p w14:paraId="7C8E6E8D" w14:textId="31170679" w:rsidR="004A28DC" w:rsidRDefault="004A28DC">
            <w:r>
              <w:t>NOTE- No Per Cap</w:t>
            </w:r>
            <w:r w:rsidR="00DE335F">
              <w:t>i</w:t>
            </w:r>
            <w:r>
              <w:t xml:space="preserve">ta </w:t>
            </w:r>
            <w:proofErr w:type="spellStart"/>
            <w:r>
              <w:t>Lbs</w:t>
            </w:r>
            <w:proofErr w:type="spellEnd"/>
            <w:r>
              <w:t xml:space="preserve"> recorded- assumes that some consumption took place but the amount may be limited</w:t>
            </w:r>
          </w:p>
          <w:p w14:paraId="7F340FDB" w14:textId="77777777" w:rsidR="004A28DC" w:rsidRDefault="004A28DC">
            <w:r>
              <w:t>Bearded Seal</w:t>
            </w:r>
          </w:p>
          <w:p w14:paraId="0B512F7C" w14:textId="77777777" w:rsidR="004A28DC" w:rsidRDefault="004A28DC">
            <w:r>
              <w:t>Harbor Seal</w:t>
            </w:r>
          </w:p>
          <w:p w14:paraId="44976351" w14:textId="77777777" w:rsidR="004A28DC" w:rsidRDefault="004A28DC">
            <w:r>
              <w:t>Spotted Seal</w:t>
            </w:r>
          </w:p>
          <w:p w14:paraId="7EC9E7E6" w14:textId="77777777" w:rsidR="004A28DC" w:rsidRDefault="004A28DC">
            <w:r>
              <w:t>Unknown seal</w:t>
            </w:r>
          </w:p>
          <w:p w14:paraId="22D25BB7" w14:textId="77777777" w:rsidR="004A28DC" w:rsidRDefault="004A28DC">
            <w:r>
              <w:t>Sea Otter</w:t>
            </w:r>
          </w:p>
          <w:p w14:paraId="7B154A60" w14:textId="77777777" w:rsidR="004A28DC" w:rsidRDefault="004A28DC">
            <w:r>
              <w:t>Walrus</w:t>
            </w:r>
          </w:p>
          <w:p w14:paraId="7AD34F57" w14:textId="77777777" w:rsidR="004A28DC" w:rsidRDefault="004A28DC">
            <w:r>
              <w:t>Beluga</w:t>
            </w:r>
          </w:p>
          <w:p w14:paraId="1797B039" w14:textId="77777777" w:rsidR="004A28DC" w:rsidRDefault="004A28DC">
            <w:r>
              <w:t>Bowhead</w:t>
            </w:r>
          </w:p>
          <w:p w14:paraId="315038AD" w14:textId="77777777" w:rsidR="004A28DC" w:rsidRPr="00806FC6" w:rsidRDefault="004A28DC">
            <w:r>
              <w:t>Unknown</w:t>
            </w:r>
          </w:p>
        </w:tc>
      </w:tr>
    </w:tbl>
    <w:p w14:paraId="6E746B77" w14:textId="77777777" w:rsidR="00806FC6" w:rsidRDefault="00806FC6">
      <w:pPr>
        <w:rPr>
          <w:b/>
        </w:rPr>
      </w:pPr>
    </w:p>
    <w:p w14:paraId="0AB793AD" w14:textId="77777777" w:rsidR="00790205" w:rsidRDefault="00790205">
      <w:r>
        <w:t xml:space="preserve">Appears that there is a general decline in the </w:t>
      </w:r>
      <w:proofErr w:type="spellStart"/>
      <w:r>
        <w:t>take</w:t>
      </w:r>
      <w:proofErr w:type="spellEnd"/>
      <w:r>
        <w:t xml:space="preserve"> of seal/sea lions across the state with the exception of Kodiak. Generally related to a decrease in number of hunters. On Kodiak it appears that the decline in take is related to hunter success rather than the total number of hunters participating. </w:t>
      </w:r>
    </w:p>
    <w:p w14:paraId="3FA91B2F" w14:textId="5B601E1B" w:rsidR="00521511" w:rsidRPr="00F84122" w:rsidRDefault="00521511">
      <w:r>
        <w:t>Consumption in the interior is very hard to determine as harvest by residents generally does not occur- meat is acquired via trade/bar</w:t>
      </w:r>
      <w:r w:rsidR="0079315B">
        <w:t>t</w:t>
      </w:r>
      <w:r>
        <w:t xml:space="preserve">er/gift. This may lead to over/under reporting by residents. This issue is likely to occur in other areas as well as there is a limited number of actual hunters compared to individuals who “use” the resource. </w:t>
      </w:r>
    </w:p>
    <w:p w14:paraId="5584A18C" w14:textId="116FDCF6" w:rsidR="00F84122" w:rsidRDefault="00A46AD1">
      <w:pPr>
        <w:rPr>
          <w:b/>
        </w:rPr>
      </w:pPr>
      <w:r>
        <w:rPr>
          <w:b/>
        </w:rPr>
        <w:t>Contaminant</w:t>
      </w:r>
      <w:r w:rsidR="00F84122">
        <w:rPr>
          <w:b/>
        </w:rPr>
        <w:t xml:space="preserve"> information by Species</w:t>
      </w:r>
      <w:r w:rsidR="00A95552">
        <w:rPr>
          <w:b/>
        </w:rPr>
        <w:t xml:space="preserve"> </w:t>
      </w:r>
    </w:p>
    <w:tbl>
      <w:tblPr>
        <w:tblStyle w:val="TableGrid"/>
        <w:tblW w:w="0" w:type="auto"/>
        <w:tblLook w:val="04A0" w:firstRow="1" w:lastRow="0" w:firstColumn="1" w:lastColumn="0" w:noHBand="0" w:noVBand="1"/>
      </w:tblPr>
      <w:tblGrid>
        <w:gridCol w:w="2993"/>
        <w:gridCol w:w="2647"/>
        <w:gridCol w:w="3710"/>
      </w:tblGrid>
      <w:tr w:rsidR="00162AB4" w:rsidRPr="00543A8D" w14:paraId="0E4F8057" w14:textId="77777777" w:rsidTr="00162AB4">
        <w:tc>
          <w:tcPr>
            <w:tcW w:w="2993" w:type="dxa"/>
          </w:tcPr>
          <w:p w14:paraId="5C364D5A" w14:textId="77777777" w:rsidR="00162AB4" w:rsidRPr="00543A8D" w:rsidRDefault="00162AB4">
            <w:r w:rsidRPr="00543A8D">
              <w:t>Species</w:t>
            </w:r>
          </w:p>
        </w:tc>
        <w:tc>
          <w:tcPr>
            <w:tcW w:w="2647" w:type="dxa"/>
          </w:tcPr>
          <w:p w14:paraId="2A425934" w14:textId="77777777" w:rsidR="00162AB4" w:rsidRPr="00543A8D" w:rsidRDefault="00162AB4"/>
        </w:tc>
        <w:tc>
          <w:tcPr>
            <w:tcW w:w="3710" w:type="dxa"/>
          </w:tcPr>
          <w:p w14:paraId="4E64DBC2" w14:textId="0B7C731B" w:rsidR="00162AB4" w:rsidRPr="00543A8D" w:rsidRDefault="00162AB4" w:rsidP="00DE335F">
            <w:commentRangeStart w:id="2"/>
            <w:r w:rsidRPr="00543A8D">
              <w:t>Contamina</w:t>
            </w:r>
            <w:r w:rsidR="00DE335F">
              <w:t>n</w:t>
            </w:r>
            <w:r w:rsidRPr="00543A8D">
              <w:t>ts</w:t>
            </w:r>
            <w:commentRangeEnd w:id="2"/>
            <w:r w:rsidR="00DE335F">
              <w:rPr>
                <w:rStyle w:val="CommentReference"/>
              </w:rPr>
              <w:commentReference w:id="2"/>
            </w:r>
          </w:p>
        </w:tc>
      </w:tr>
      <w:tr w:rsidR="00162AB4" w:rsidRPr="00543A8D" w14:paraId="4AFDCB67" w14:textId="77777777" w:rsidTr="00162AB4">
        <w:tc>
          <w:tcPr>
            <w:tcW w:w="2993" w:type="dxa"/>
          </w:tcPr>
          <w:p w14:paraId="1AFB3B6F" w14:textId="77777777" w:rsidR="00162AB4" w:rsidRPr="00543A8D" w:rsidRDefault="00162AB4" w:rsidP="0043256C">
            <w:r w:rsidRPr="00543A8D">
              <w:t>Bearded Seal</w:t>
            </w:r>
            <w:r w:rsidR="0043256C">
              <w:t>- TL3.8</w:t>
            </w:r>
          </w:p>
        </w:tc>
        <w:tc>
          <w:tcPr>
            <w:tcW w:w="2647" w:type="dxa"/>
          </w:tcPr>
          <w:p w14:paraId="3323E326" w14:textId="77777777" w:rsidR="00162AB4" w:rsidRPr="00543A8D" w:rsidRDefault="00162AB4">
            <w:r w:rsidRPr="00543A8D">
              <w:t>Generally not noted to haul out on land although there are exceptions. Shallow water feeding Bx.</w:t>
            </w:r>
          </w:p>
          <w:p w14:paraId="02CDE9C6" w14:textId="77777777" w:rsidR="002F2DEB" w:rsidRPr="00543A8D" w:rsidRDefault="002F2DEB">
            <w:r w:rsidRPr="00543A8D">
              <w:t>Unknown if this equates to nearshore v. offshore feeding</w:t>
            </w:r>
          </w:p>
          <w:p w14:paraId="308DF08D" w14:textId="77777777" w:rsidR="00162AB4" w:rsidRPr="00543A8D" w:rsidRDefault="00162AB4"/>
          <w:p w14:paraId="50521DBA" w14:textId="40588CF4" w:rsidR="00162AB4" w:rsidRPr="00543A8D" w:rsidRDefault="00A46AD1">
            <w:r>
              <w:t>Contaminant</w:t>
            </w:r>
            <w:r w:rsidR="00162AB4" w:rsidRPr="00543A8D">
              <w:t xml:space="preserve"> testing occurred on liver, kidney, and muscle </w:t>
            </w:r>
            <w:commentRangeStart w:id="3"/>
            <w:r w:rsidR="00162AB4" w:rsidRPr="00543A8D">
              <w:t>tissue</w:t>
            </w:r>
            <w:commentRangeEnd w:id="3"/>
            <w:r w:rsidR="00DE335F">
              <w:rPr>
                <w:rStyle w:val="CommentReference"/>
              </w:rPr>
              <w:commentReference w:id="3"/>
            </w:r>
          </w:p>
        </w:tc>
        <w:tc>
          <w:tcPr>
            <w:tcW w:w="3710" w:type="dxa"/>
          </w:tcPr>
          <w:p w14:paraId="794B4481" w14:textId="77777777" w:rsidR="00162AB4" w:rsidRPr="00543A8D" w:rsidRDefault="00162AB4">
            <w:r w:rsidRPr="00543A8D">
              <w:t>Elevated cadmium and mercury</w:t>
            </w:r>
          </w:p>
          <w:p w14:paraId="57900432" w14:textId="202444AF" w:rsidR="00162AB4" w:rsidRPr="00543A8D" w:rsidRDefault="00162AB4" w:rsidP="00DE335F">
            <w:r w:rsidRPr="00543A8D">
              <w:t>Lowest levels of total HCH (</w:t>
            </w:r>
            <w:proofErr w:type="spellStart"/>
            <w:r w:rsidRPr="00543A8D">
              <w:t>hexachlorocyclohexane</w:t>
            </w:r>
            <w:proofErr w:type="spellEnd"/>
            <w:r w:rsidRPr="00543A8D">
              <w:t>), DDT, and PCBs (polychlorinated biphenyls). Second lowest level of CHL (</w:t>
            </w:r>
            <w:proofErr w:type="spellStart"/>
            <w:r w:rsidRPr="00543A8D">
              <w:t>chlordanes</w:t>
            </w:r>
            <w:proofErr w:type="spellEnd"/>
            <w:r w:rsidRPr="00543A8D">
              <w:t>).</w:t>
            </w:r>
            <w:r w:rsidRPr="00543A8D">
              <w:rPr>
                <w:rStyle w:val="FootnoteReference"/>
              </w:rPr>
              <w:footnoteReference w:id="3"/>
            </w:r>
            <w:r w:rsidRPr="00543A8D">
              <w:t xml:space="preserve"> </w:t>
            </w:r>
            <w:r w:rsidR="002F2DEB" w:rsidRPr="00543A8D">
              <w:t xml:space="preserve">Lowest levels of PBDEs. </w:t>
            </w:r>
            <w:r w:rsidRPr="00543A8D">
              <w:t>Levels of contamina</w:t>
            </w:r>
            <w:r w:rsidR="00DE335F">
              <w:t>n</w:t>
            </w:r>
            <w:r w:rsidRPr="00543A8D">
              <w:t>ts are generally lower than other ice seal species harvested in AK</w:t>
            </w:r>
          </w:p>
        </w:tc>
      </w:tr>
      <w:tr w:rsidR="00162AB4" w:rsidRPr="00543A8D" w14:paraId="5C18255C" w14:textId="77777777" w:rsidTr="00162AB4">
        <w:tc>
          <w:tcPr>
            <w:tcW w:w="2993" w:type="dxa"/>
          </w:tcPr>
          <w:p w14:paraId="05711513" w14:textId="77777777" w:rsidR="00162AB4" w:rsidRPr="00543A8D" w:rsidRDefault="00543A8D">
            <w:r w:rsidRPr="00543A8D">
              <w:t>Harbor Seals</w:t>
            </w:r>
            <w:r w:rsidR="000B43BF">
              <w:t>- TL4.0</w:t>
            </w:r>
          </w:p>
        </w:tc>
        <w:tc>
          <w:tcPr>
            <w:tcW w:w="2647" w:type="dxa"/>
          </w:tcPr>
          <w:p w14:paraId="5E422788" w14:textId="4538ED51" w:rsidR="00162AB4" w:rsidRPr="00543A8D" w:rsidRDefault="00543A8D">
            <w:r w:rsidRPr="00543A8D">
              <w:t>The harbor seal is a useful model species for studies of contamination of the marine food</w:t>
            </w:r>
            <w:r w:rsidR="00A46AD1">
              <w:t xml:space="preserve"> contaminant</w:t>
            </w:r>
            <w:r w:rsidRPr="00543A8D">
              <w:t xml:space="preserve"> web and potential environmental health effects. Harbor seals tend to feed on species of fish that are coastal and, in contrast to many other </w:t>
            </w:r>
            <w:proofErr w:type="spellStart"/>
            <w:r w:rsidRPr="00543A8D">
              <w:t>phocids</w:t>
            </w:r>
            <w:proofErr w:type="spellEnd"/>
            <w:r w:rsidRPr="00543A8D">
              <w:t>, they tend to migrate locally, staying close to their coastal feed</w:t>
            </w:r>
            <w:r w:rsidRPr="00543A8D">
              <w:softHyphen/>
              <w:t>ing and haul-out areas, and using bays and estuar</w:t>
            </w:r>
            <w:r w:rsidRPr="00543A8D">
              <w:softHyphen/>
              <w:t>ies for resting, foraging, and reproduction</w:t>
            </w:r>
          </w:p>
        </w:tc>
        <w:tc>
          <w:tcPr>
            <w:tcW w:w="3710" w:type="dxa"/>
          </w:tcPr>
          <w:p w14:paraId="2AF37E00" w14:textId="77777777" w:rsidR="00162AB4" w:rsidRDefault="00543A8D">
            <w:r>
              <w:t>PCB and DDE noted. Strongly related to sex and age (older males &gt; concentrations)</w:t>
            </w:r>
          </w:p>
          <w:p w14:paraId="5A358790" w14:textId="77777777" w:rsidR="004F6395" w:rsidRDefault="004F6395"/>
          <w:p w14:paraId="529E76AE" w14:textId="0083C514" w:rsidR="004F6395" w:rsidRDefault="004F6395">
            <w:r>
              <w:t xml:space="preserve">Limited data is available to make generalized statements about </w:t>
            </w:r>
            <w:commentRangeStart w:id="4"/>
            <w:r w:rsidR="00A46AD1">
              <w:t>contaminant</w:t>
            </w:r>
            <w:r>
              <w:t>s</w:t>
            </w:r>
            <w:commentRangeEnd w:id="4"/>
            <w:r w:rsidR="00DE335F">
              <w:rPr>
                <w:rStyle w:val="CommentReference"/>
              </w:rPr>
              <w:commentReference w:id="4"/>
            </w:r>
            <w:r>
              <w:t xml:space="preserve"> in seals other than the fact that certain </w:t>
            </w:r>
            <w:r w:rsidR="00A46AD1">
              <w:t>contaminant</w:t>
            </w:r>
            <w:r>
              <w:t xml:space="preserve">s may be concentrated in certain tissue/organs, and that a wide range of values are recorded-similar to that of other aquatic species. </w:t>
            </w:r>
          </w:p>
          <w:p w14:paraId="243BC31C" w14:textId="77777777" w:rsidR="00D93CC6" w:rsidRDefault="00D93CC6"/>
          <w:p w14:paraId="23B8D11B" w14:textId="77777777" w:rsidR="00D93CC6" w:rsidRDefault="00D93CC6">
            <w:r>
              <w:t>Studies of harbor seals in Bristol Bay noted the presence of PCB and DDE but no sources. Concentrations were lower than reported in marine mammals elsewhere. Seals had greater concentrations of contaminates than spotted seals (Neale 2009). Attributed to feeding at a higher trophic level/in coastal areas</w:t>
            </w:r>
          </w:p>
          <w:p w14:paraId="043ABAAD" w14:textId="77777777" w:rsidR="00D93CC6" w:rsidRPr="00543A8D" w:rsidRDefault="00D93CC6">
            <w:r>
              <w:t xml:space="preserve"> </w:t>
            </w:r>
          </w:p>
        </w:tc>
      </w:tr>
      <w:tr w:rsidR="00162AB4" w:rsidRPr="00543A8D" w14:paraId="4D833E9F" w14:textId="77777777" w:rsidTr="00162AB4">
        <w:tc>
          <w:tcPr>
            <w:tcW w:w="2993" w:type="dxa"/>
          </w:tcPr>
          <w:p w14:paraId="255E2233" w14:textId="77777777" w:rsidR="00162AB4" w:rsidRPr="00543A8D" w:rsidRDefault="00162AB4"/>
        </w:tc>
        <w:tc>
          <w:tcPr>
            <w:tcW w:w="2647" w:type="dxa"/>
          </w:tcPr>
          <w:p w14:paraId="2752C7F5" w14:textId="77777777" w:rsidR="00162AB4" w:rsidRPr="00543A8D" w:rsidRDefault="00162AB4"/>
        </w:tc>
        <w:tc>
          <w:tcPr>
            <w:tcW w:w="3710" w:type="dxa"/>
          </w:tcPr>
          <w:p w14:paraId="2DCDDC25" w14:textId="77777777" w:rsidR="00162AB4" w:rsidRPr="00543A8D" w:rsidRDefault="00162AB4"/>
        </w:tc>
      </w:tr>
      <w:tr w:rsidR="00162AB4" w:rsidRPr="00543A8D" w14:paraId="412FFBB5" w14:textId="77777777" w:rsidTr="00162AB4">
        <w:tc>
          <w:tcPr>
            <w:tcW w:w="2993" w:type="dxa"/>
          </w:tcPr>
          <w:p w14:paraId="3F064908" w14:textId="77777777" w:rsidR="00162AB4" w:rsidRPr="00543A8D" w:rsidRDefault="00EA65C9">
            <w:r>
              <w:t>Belugas</w:t>
            </w:r>
            <w:r w:rsidR="0043256C">
              <w:t>-TL3.8</w:t>
            </w:r>
          </w:p>
        </w:tc>
        <w:tc>
          <w:tcPr>
            <w:tcW w:w="2647" w:type="dxa"/>
          </w:tcPr>
          <w:p w14:paraId="6F2C87A1" w14:textId="77777777" w:rsidR="00EA65C9" w:rsidRDefault="00EA65C9">
            <w:r>
              <w:t>Comprise a significant part of SW, Western, and Arctic Alaska diet.</w:t>
            </w:r>
          </w:p>
          <w:p w14:paraId="1A5C0F85" w14:textId="77777777" w:rsidR="00162AB4" w:rsidRPr="00543A8D" w:rsidRDefault="00EA65C9">
            <w:r>
              <w:t>Cook Inlet species considered to be near shore foragers. Likely to be representative of belugas in general</w:t>
            </w:r>
          </w:p>
        </w:tc>
        <w:tc>
          <w:tcPr>
            <w:tcW w:w="3710" w:type="dxa"/>
          </w:tcPr>
          <w:p w14:paraId="58CC27AC" w14:textId="6C192542" w:rsidR="00162AB4" w:rsidRDefault="00EA65C9">
            <w:r>
              <w:t xml:space="preserve">Becker (2001) notes </w:t>
            </w:r>
            <w:r w:rsidR="00466E30">
              <w:t xml:space="preserve">levels of </w:t>
            </w:r>
            <w:r w:rsidR="00A46AD1">
              <w:t>contaminant</w:t>
            </w:r>
            <w:r>
              <w:t xml:space="preserve">s such as PCBs and chlorinated pesticides. </w:t>
            </w:r>
          </w:p>
          <w:p w14:paraId="2B1AE0D4" w14:textId="7AD6A019" w:rsidR="004E6C23" w:rsidRPr="00543A8D" w:rsidRDefault="004E6C23"/>
        </w:tc>
      </w:tr>
      <w:tr w:rsidR="00162AB4" w:rsidRPr="00543A8D" w14:paraId="628A26FE" w14:textId="77777777" w:rsidTr="00162AB4">
        <w:tc>
          <w:tcPr>
            <w:tcW w:w="2993" w:type="dxa"/>
          </w:tcPr>
          <w:p w14:paraId="68D82EA9" w14:textId="77777777" w:rsidR="00162AB4" w:rsidRPr="00543A8D" w:rsidRDefault="00162AB4"/>
        </w:tc>
        <w:tc>
          <w:tcPr>
            <w:tcW w:w="2647" w:type="dxa"/>
          </w:tcPr>
          <w:p w14:paraId="4882F66A" w14:textId="77777777" w:rsidR="00162AB4" w:rsidRPr="00543A8D" w:rsidRDefault="00162AB4"/>
        </w:tc>
        <w:tc>
          <w:tcPr>
            <w:tcW w:w="3710" w:type="dxa"/>
          </w:tcPr>
          <w:p w14:paraId="6334255C" w14:textId="77777777" w:rsidR="00162AB4" w:rsidRPr="00543A8D" w:rsidRDefault="00162AB4"/>
        </w:tc>
      </w:tr>
    </w:tbl>
    <w:p w14:paraId="6906BFAE" w14:textId="77777777" w:rsidR="0043256C" w:rsidRDefault="0043256C">
      <w:pPr>
        <w:rPr>
          <w:b/>
        </w:rPr>
      </w:pPr>
    </w:p>
    <w:p w14:paraId="3A785586" w14:textId="77777777" w:rsidR="00935D13" w:rsidRPr="00C32501" w:rsidRDefault="00935D13"/>
    <w:sectPr w:rsidR="00935D13" w:rsidRPr="00C3250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dministrator" w:date="2017-02-03T15:45:00Z" w:initials="A">
    <w:p w14:paraId="76765DC0" w14:textId="77777777" w:rsidR="00F1145B" w:rsidRDefault="001A620A">
      <w:pPr>
        <w:pStyle w:val="CommentText"/>
      </w:pPr>
      <w:r>
        <w:rPr>
          <w:rStyle w:val="CommentReference"/>
        </w:rPr>
        <w:annotationRef/>
      </w:r>
      <w:r>
        <w:t>Here again we run in the problem of having widely different concentrations in different tissues for any given chemical.</w:t>
      </w:r>
      <w:r w:rsidR="00C617EA">
        <w:t xml:space="preserve"> </w:t>
      </w:r>
    </w:p>
    <w:p w14:paraId="733A0F25" w14:textId="77777777" w:rsidR="00F1145B" w:rsidRDefault="00F1145B">
      <w:pPr>
        <w:pStyle w:val="CommentText"/>
      </w:pPr>
    </w:p>
    <w:p w14:paraId="3F965E7E" w14:textId="3F0AABC2" w:rsidR="001A620A" w:rsidRDefault="00F1145B">
      <w:pPr>
        <w:pStyle w:val="CommentText"/>
      </w:pPr>
      <w:r>
        <w:t>What might be possible on the other hand is to take into account different MM tissues in the denominator of the equation below:</w:t>
      </w:r>
    </w:p>
    <w:p w14:paraId="06B3E5F6" w14:textId="7B270F86" w:rsidR="00C617EA" w:rsidRDefault="00C617EA" w:rsidP="004411BE">
      <w:pPr>
        <w:pStyle w:val="CommentText"/>
      </w:pPr>
    </w:p>
    <w:p w14:paraId="248B7321" w14:textId="1F4DE5E7" w:rsidR="00024241" w:rsidRDefault="00024241" w:rsidP="004411BE">
      <w:pPr>
        <w:pStyle w:val="CommentText"/>
      </w:pPr>
      <w:r>
        <w:t>In the following formula:</w:t>
      </w:r>
    </w:p>
    <w:p w14:paraId="2A4B06B2" w14:textId="380A98BD" w:rsidR="00024241" w:rsidRDefault="00024241" w:rsidP="004411BE">
      <w:pPr>
        <w:pStyle w:val="CommentText"/>
      </w:pPr>
      <w:r>
        <w:rPr>
          <w:noProof/>
        </w:rPr>
        <w:drawing>
          <wp:inline distT="0" distB="0" distL="0" distR="0" wp14:anchorId="099254EB" wp14:editId="3CF7F977">
            <wp:extent cx="1796995" cy="489616"/>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13876" cy="494216"/>
                    </a:xfrm>
                    <a:prstGeom prst="rect">
                      <a:avLst/>
                    </a:prstGeom>
                  </pic:spPr>
                </pic:pic>
              </a:graphicData>
            </a:graphic>
          </wp:inline>
        </w:drawing>
      </w:r>
    </w:p>
    <w:p w14:paraId="176BFAE9" w14:textId="77777777" w:rsidR="00F1145B" w:rsidRDefault="00F1145B" w:rsidP="004411BE">
      <w:pPr>
        <w:pStyle w:val="CommentText"/>
      </w:pPr>
    </w:p>
    <w:p w14:paraId="55B6E18D" w14:textId="77777777" w:rsidR="00F1145B" w:rsidRDefault="00024241" w:rsidP="004411BE">
      <w:pPr>
        <w:pStyle w:val="CommentText"/>
      </w:pPr>
      <w:r>
        <w:t xml:space="preserve">The sum appearing in the denominator allows for different fish consumption numbers for different trophic levels to be accounted for. </w:t>
      </w:r>
      <w:r w:rsidR="00F1145B">
        <w:t>We could</w:t>
      </w:r>
      <w:r>
        <w:t xml:space="preserve"> include consumption of different MM tissues instead?</w:t>
      </w:r>
      <w:r w:rsidR="00F1145B">
        <w:t xml:space="preserve"> </w:t>
      </w:r>
    </w:p>
    <w:p w14:paraId="27E7E162" w14:textId="63F7BEF4" w:rsidR="006257A7" w:rsidRDefault="00F1145B" w:rsidP="00F1145B">
      <w:pPr>
        <w:pStyle w:val="CommentText"/>
        <w:numPr>
          <w:ilvl w:val="0"/>
          <w:numId w:val="8"/>
        </w:numPr>
      </w:pPr>
      <w:r>
        <w:t>A BAF could be modeled for various tissues.</w:t>
      </w:r>
      <w:r w:rsidR="00024241">
        <w:t xml:space="preserve"> </w:t>
      </w:r>
    </w:p>
    <w:p w14:paraId="0F45AE02" w14:textId="77777777" w:rsidR="00F1145B" w:rsidRDefault="00F1145B" w:rsidP="00F1145B">
      <w:pPr>
        <w:pStyle w:val="CommentText"/>
        <w:numPr>
          <w:ilvl w:val="1"/>
          <w:numId w:val="7"/>
        </w:numPr>
      </w:pPr>
      <w:r>
        <w:t xml:space="preserve"> With help from </w:t>
      </w:r>
      <w:r w:rsidR="00024241">
        <w:t>for Dr. Gobas?</w:t>
      </w:r>
    </w:p>
    <w:p w14:paraId="6D6D0596" w14:textId="7F313D43" w:rsidR="00C617EA" w:rsidRDefault="006257A7" w:rsidP="00F1145B">
      <w:pPr>
        <w:pStyle w:val="CommentText"/>
        <w:numPr>
          <w:ilvl w:val="0"/>
          <w:numId w:val="7"/>
        </w:numPr>
      </w:pPr>
      <w:r>
        <w:t>Fi could be estimated for each tissue based on data provided by the harvest database.</w:t>
      </w:r>
    </w:p>
  </w:comment>
  <w:comment w:id="2" w:author="Verbrugge, Lori" w:date="2017-02-09T14:48:00Z" w:initials="LV">
    <w:p w14:paraId="067A285C" w14:textId="7E399709" w:rsidR="00DE335F" w:rsidRDefault="00DE335F">
      <w:pPr>
        <w:pStyle w:val="CommentText"/>
      </w:pPr>
      <w:r>
        <w:rPr>
          <w:rStyle w:val="CommentReference"/>
        </w:rPr>
        <w:annotationRef/>
      </w:r>
      <w:r>
        <w:t xml:space="preserve">This column makes me hesitate because it seems that each “factoid” comes from a single reference.  </w:t>
      </w:r>
      <w:r w:rsidR="0079315B">
        <w:t>Various papers don’t always come to the same conclusion so in the absence of a careful literature review it might be better not to generalize like this.</w:t>
      </w:r>
    </w:p>
  </w:comment>
  <w:comment w:id="3" w:author="Verbrugge, Lori" w:date="2017-02-09T14:41:00Z" w:initials="LV">
    <w:p w14:paraId="5A950B48" w14:textId="7D404724" w:rsidR="00DE335F" w:rsidRDefault="00DE335F">
      <w:pPr>
        <w:pStyle w:val="CommentText"/>
      </w:pPr>
      <w:r>
        <w:rPr>
          <w:rStyle w:val="CommentReference"/>
        </w:rPr>
        <w:annotationRef/>
      </w:r>
      <w:r>
        <w:t>Not blubber?  Discussion of contaminants in column to the right is confusing, then, because blubber is where the POPs would be highest.  Make sure you’re comparing apples to apples.</w:t>
      </w:r>
    </w:p>
  </w:comment>
  <w:comment w:id="4" w:author="Verbrugge, Lori" w:date="2017-02-09T14:42:00Z" w:initials="LV">
    <w:p w14:paraId="25F62A4A" w14:textId="0BBD9E88" w:rsidR="00DE335F" w:rsidRDefault="00DE335F">
      <w:pPr>
        <w:pStyle w:val="CommentText"/>
      </w:pPr>
      <w:r>
        <w:rPr>
          <w:rStyle w:val="CommentReference"/>
        </w:rPr>
        <w:annotationRef/>
      </w:r>
      <w:r>
        <w:t>Search and replace – it’s contaminants, not contaminates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6D0596" w15:done="0"/>
  <w15:commentEx w15:paraId="067A285C" w15:done="0"/>
  <w15:commentEx w15:paraId="5A950B48" w15:done="0"/>
  <w15:commentEx w15:paraId="25F62A4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754C4" w14:textId="77777777" w:rsidR="005A78FB" w:rsidRDefault="005A78FB" w:rsidP="00162AB4">
      <w:pPr>
        <w:spacing w:after="0" w:line="240" w:lineRule="auto"/>
      </w:pPr>
      <w:r>
        <w:separator/>
      </w:r>
    </w:p>
  </w:endnote>
  <w:endnote w:type="continuationSeparator" w:id="0">
    <w:p w14:paraId="6B8D46F2" w14:textId="77777777" w:rsidR="005A78FB" w:rsidRDefault="005A78FB" w:rsidP="00162AB4">
      <w:pPr>
        <w:spacing w:after="0" w:line="240" w:lineRule="auto"/>
      </w:pPr>
      <w:r>
        <w:continuationSeparator/>
      </w:r>
    </w:p>
  </w:endnote>
  <w:endnote w:type="continuationNotice" w:id="1">
    <w:p w14:paraId="0C23D5DF" w14:textId="77777777" w:rsidR="005A78FB" w:rsidRDefault="005A78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09E09" w14:textId="77777777" w:rsidR="00D00327" w:rsidRDefault="00D003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66060" w14:textId="624EA2D6" w:rsidR="00A95552" w:rsidRDefault="00A95552">
    <w:pPr>
      <w:pStyle w:val="Footer"/>
    </w:pPr>
    <w:r>
      <w:t xml:space="preserve">Treatment of Marine Mammals in HHC </w:t>
    </w:r>
    <w:proofErr w:type="spellStart"/>
    <w:r>
      <w:t>Formu</w:t>
    </w:r>
    <w:r w:rsidR="002D0010">
      <w:t>la_Workgroup</w:t>
    </w:r>
    <w:proofErr w:type="spellEnd"/>
    <w:r w:rsidR="002D0010">
      <w:t xml:space="preserve"> Options_Draft_02_</w:t>
    </w:r>
    <w:r w:rsidR="00C44508">
      <w:t>13</w:t>
    </w:r>
    <w:r>
      <w:t>_17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E41AB" w14:textId="77777777" w:rsidR="00D00327" w:rsidRDefault="00D003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EF1B6" w14:textId="77777777" w:rsidR="005A78FB" w:rsidRDefault="005A78FB" w:rsidP="00162AB4">
      <w:pPr>
        <w:spacing w:after="0" w:line="240" w:lineRule="auto"/>
      </w:pPr>
      <w:r>
        <w:separator/>
      </w:r>
    </w:p>
  </w:footnote>
  <w:footnote w:type="continuationSeparator" w:id="0">
    <w:p w14:paraId="338DD20E" w14:textId="77777777" w:rsidR="005A78FB" w:rsidRDefault="005A78FB" w:rsidP="00162AB4">
      <w:pPr>
        <w:spacing w:after="0" w:line="240" w:lineRule="auto"/>
      </w:pPr>
      <w:r>
        <w:continuationSeparator/>
      </w:r>
    </w:p>
  </w:footnote>
  <w:footnote w:type="continuationNotice" w:id="1">
    <w:p w14:paraId="3F0080DD" w14:textId="77777777" w:rsidR="005A78FB" w:rsidRDefault="005A78FB">
      <w:pPr>
        <w:spacing w:after="0" w:line="240" w:lineRule="auto"/>
      </w:pPr>
    </w:p>
  </w:footnote>
  <w:footnote w:id="2">
    <w:p w14:paraId="5F69D08C" w14:textId="77777777" w:rsidR="00AA0F57" w:rsidRDefault="00AA0F57">
      <w:pPr>
        <w:pStyle w:val="FootnoteText"/>
      </w:pPr>
      <w:r>
        <w:rPr>
          <w:rStyle w:val="FootnoteReference"/>
        </w:rPr>
        <w:footnoteRef/>
      </w:r>
      <w:r>
        <w:t xml:space="preserve"> Based on data in Technical Paper N. 374. The Subsistence Harvest of Harbor Seals and Sea Lions on Kodiak Island in 2011. ADF&amp;G and Alaska Native Harbor Seal Commission</w:t>
      </w:r>
    </w:p>
  </w:footnote>
  <w:footnote w:id="3">
    <w:p w14:paraId="79727E8C" w14:textId="77777777" w:rsidR="00162AB4" w:rsidRDefault="00162AB4">
      <w:pPr>
        <w:pStyle w:val="FootnoteText"/>
      </w:pPr>
      <w:r>
        <w:rPr>
          <w:rStyle w:val="FootnoteReference"/>
        </w:rPr>
        <w:footnoteRef/>
      </w:r>
      <w:r>
        <w:t xml:space="preserve"> </w:t>
      </w:r>
      <w:proofErr w:type="spellStart"/>
      <w:r>
        <w:t>Quackenbush</w:t>
      </w:r>
      <w:proofErr w:type="spellEnd"/>
      <w:r>
        <w:t xml:space="preserve"> 2011. Biology of the bearded seal (1961-2009) ADF&amp;G.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BC45E" w14:textId="77777777" w:rsidR="00D00327" w:rsidRDefault="00D003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89219" w14:textId="1508BCF2" w:rsidR="00881FB4" w:rsidRDefault="002D0010" w:rsidP="00881FB4">
    <w:pPr>
      <w:pStyle w:val="Heading1"/>
    </w:pPr>
    <w:r>
      <w:rPr>
        <w:noProof/>
      </w:rPr>
      <mc:AlternateContent>
        <mc:Choice Requires="wps">
          <w:drawing>
            <wp:anchor distT="0" distB="0" distL="114300" distR="114300" simplePos="0" relativeHeight="251659264" behindDoc="0" locked="0" layoutInCell="1" allowOverlap="1" wp14:anchorId="6F011F75" wp14:editId="2EC0F7B1">
              <wp:simplePos x="0" y="0"/>
              <wp:positionH relativeFrom="column">
                <wp:posOffset>5240740</wp:posOffset>
              </wp:positionH>
              <wp:positionV relativeFrom="paragraph">
                <wp:posOffset>-102358</wp:posOffset>
              </wp:positionV>
              <wp:extent cx="1078173" cy="1016758"/>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078173" cy="101675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F1308B" w14:textId="3C08B5D2" w:rsidR="002D0010" w:rsidRDefault="002D0010">
                          <w:r>
                            <w:rPr>
                              <w:noProof/>
                            </w:rPr>
                            <w:drawing>
                              <wp:inline distT="0" distB="0" distL="0" distR="0" wp14:anchorId="35340DE2" wp14:editId="290573B7">
                                <wp:extent cx="853440" cy="85344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011F75" id="_x0000_t202" coordsize="21600,21600" o:spt="202" path="m,l,21600r21600,l21600,xe">
              <v:stroke joinstyle="miter"/>
              <v:path gradientshapeok="t" o:connecttype="rect"/>
            </v:shapetype>
            <v:shape id="Text Box 6" o:spid="_x0000_s1027" type="#_x0000_t202" style="position:absolute;margin-left:412.65pt;margin-top:-8.05pt;width:84.9pt;height:80.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" fillcolor="white [3201]" stroked="f" strokeweight=".5pt">
              <v:textbox>
                <w:txbxContent>
                  <w:p w14:paraId="4DF1308B" w14:textId="3C08B5D2" w:rsidR="002D0010" w:rsidRDefault="002D0010">
                    <w:r>
                      <w:rPr>
                        <w:noProof/>
                      </w:rPr>
                      <w:drawing>
                        <wp:inline distT="0" distB="0" distL="0" distR="0" wp14:anchorId="35340DE2" wp14:editId="290573B7">
                          <wp:extent cx="853440" cy="85344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pic:spPr>
                              </pic:pic>
                            </a:graphicData>
                          </a:graphic>
                        </wp:inline>
                      </w:drawing>
                    </w:r>
                  </w:p>
                </w:txbxContent>
              </v:textbox>
            </v:shape>
          </w:pict>
        </mc:Fallback>
      </mc:AlternateContent>
    </w:r>
    <w:r>
      <w:t>Policy Options Paper: Treatment of Marine M</w:t>
    </w:r>
    <w:r w:rsidR="00881FB4">
      <w:t xml:space="preserve">ammals </w:t>
    </w:r>
    <w:r>
      <w:t xml:space="preserve">                                     in the Human Health Criteria Formula</w:t>
    </w:r>
  </w:p>
  <w:p w14:paraId="4BC09E28" w14:textId="02774595" w:rsidR="002D0010" w:rsidRPr="002D0010" w:rsidRDefault="002D0010" w:rsidP="002D0010">
    <w:r w:rsidRPr="002D0010">
      <w:rPr>
        <w:color w:val="FF0000"/>
      </w:rPr>
      <w:t xml:space="preserve">Deliberative </w:t>
    </w:r>
    <w:r w:rsidR="00D00327">
      <w:rPr>
        <w:color w:val="FF0000"/>
      </w:rPr>
      <w:t>Document. Does not represent DEC’s final policy preference(s).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6536A" w14:textId="77777777" w:rsidR="00D00327" w:rsidRDefault="00D003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F4DD1"/>
    <w:multiLevelType w:val="hybridMultilevel"/>
    <w:tmpl w:val="3CCEF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F3F6A"/>
    <w:multiLevelType w:val="hybridMultilevel"/>
    <w:tmpl w:val="03204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A4F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207D7A"/>
    <w:multiLevelType w:val="hybridMultilevel"/>
    <w:tmpl w:val="6A0E3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57B74"/>
    <w:multiLevelType w:val="hybridMultilevel"/>
    <w:tmpl w:val="ECD8A8D8"/>
    <w:lvl w:ilvl="0" w:tplc="20C6B54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C93B48"/>
    <w:multiLevelType w:val="hybridMultilevel"/>
    <w:tmpl w:val="067E8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C20CCE"/>
    <w:multiLevelType w:val="hybridMultilevel"/>
    <w:tmpl w:val="F0FC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8D5FA1"/>
    <w:multiLevelType w:val="hybridMultilevel"/>
    <w:tmpl w:val="BDFCF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AD40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68A7DFC"/>
    <w:multiLevelType w:val="hybridMultilevel"/>
    <w:tmpl w:val="9DECDF8A"/>
    <w:lvl w:ilvl="0" w:tplc="20C6B54C">
      <w:start w:val="1"/>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5"/>
  </w:num>
  <w:num w:numId="5">
    <w:abstractNumId w:val="1"/>
  </w:num>
  <w:num w:numId="6">
    <w:abstractNumId w:val="6"/>
  </w:num>
  <w:num w:numId="7">
    <w:abstractNumId w:val="9"/>
  </w:num>
  <w:num w:numId="8">
    <w:abstractNumId w:val="4"/>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6CF"/>
    <w:rsid w:val="00020B4B"/>
    <w:rsid w:val="00024241"/>
    <w:rsid w:val="00042EF5"/>
    <w:rsid w:val="000B43BF"/>
    <w:rsid w:val="00111E5D"/>
    <w:rsid w:val="00114EA9"/>
    <w:rsid w:val="001408C7"/>
    <w:rsid w:val="00152286"/>
    <w:rsid w:val="00162AB4"/>
    <w:rsid w:val="0016794B"/>
    <w:rsid w:val="00175B70"/>
    <w:rsid w:val="001A620A"/>
    <w:rsid w:val="00272DFC"/>
    <w:rsid w:val="00284233"/>
    <w:rsid w:val="002A7A0B"/>
    <w:rsid w:val="002B3702"/>
    <w:rsid w:val="002C7FD0"/>
    <w:rsid w:val="002D0010"/>
    <w:rsid w:val="002F2DEB"/>
    <w:rsid w:val="00306C62"/>
    <w:rsid w:val="003A4B1D"/>
    <w:rsid w:val="003D5EB7"/>
    <w:rsid w:val="003F06DD"/>
    <w:rsid w:val="003F090B"/>
    <w:rsid w:val="003F364C"/>
    <w:rsid w:val="00412464"/>
    <w:rsid w:val="0041249D"/>
    <w:rsid w:val="0043256C"/>
    <w:rsid w:val="004411BE"/>
    <w:rsid w:val="004424E3"/>
    <w:rsid w:val="00466E30"/>
    <w:rsid w:val="004815AF"/>
    <w:rsid w:val="004A28DC"/>
    <w:rsid w:val="004E6C23"/>
    <w:rsid w:val="004F6395"/>
    <w:rsid w:val="00505317"/>
    <w:rsid w:val="00521511"/>
    <w:rsid w:val="00543A8D"/>
    <w:rsid w:val="00544BB8"/>
    <w:rsid w:val="0057587D"/>
    <w:rsid w:val="00590DCF"/>
    <w:rsid w:val="005A78FB"/>
    <w:rsid w:val="00624658"/>
    <w:rsid w:val="006255BD"/>
    <w:rsid w:val="006257A7"/>
    <w:rsid w:val="006E4D85"/>
    <w:rsid w:val="006E5A57"/>
    <w:rsid w:val="00790205"/>
    <w:rsid w:val="0079315B"/>
    <w:rsid w:val="007D7659"/>
    <w:rsid w:val="00806FC6"/>
    <w:rsid w:val="008209B3"/>
    <w:rsid w:val="008313EC"/>
    <w:rsid w:val="00881FB4"/>
    <w:rsid w:val="008A082E"/>
    <w:rsid w:val="008B7BE4"/>
    <w:rsid w:val="008C1D0B"/>
    <w:rsid w:val="008D0C86"/>
    <w:rsid w:val="008D0CAB"/>
    <w:rsid w:val="008D329B"/>
    <w:rsid w:val="00935D13"/>
    <w:rsid w:val="0094024E"/>
    <w:rsid w:val="00940937"/>
    <w:rsid w:val="009471C3"/>
    <w:rsid w:val="009543FD"/>
    <w:rsid w:val="009560BA"/>
    <w:rsid w:val="0097607B"/>
    <w:rsid w:val="00982ACC"/>
    <w:rsid w:val="0099640A"/>
    <w:rsid w:val="009E5787"/>
    <w:rsid w:val="009F06CF"/>
    <w:rsid w:val="00A46AD1"/>
    <w:rsid w:val="00A760F0"/>
    <w:rsid w:val="00A95552"/>
    <w:rsid w:val="00AA0F57"/>
    <w:rsid w:val="00AB502B"/>
    <w:rsid w:val="00AD56F2"/>
    <w:rsid w:val="00B33BAA"/>
    <w:rsid w:val="00B75FB4"/>
    <w:rsid w:val="00BD012C"/>
    <w:rsid w:val="00C04624"/>
    <w:rsid w:val="00C20757"/>
    <w:rsid w:val="00C32501"/>
    <w:rsid w:val="00C40113"/>
    <w:rsid w:val="00C44508"/>
    <w:rsid w:val="00C51553"/>
    <w:rsid w:val="00C617EA"/>
    <w:rsid w:val="00CD04FF"/>
    <w:rsid w:val="00D00327"/>
    <w:rsid w:val="00D77586"/>
    <w:rsid w:val="00D93CC6"/>
    <w:rsid w:val="00DE335F"/>
    <w:rsid w:val="00DE6B19"/>
    <w:rsid w:val="00DF31C0"/>
    <w:rsid w:val="00DF7DC2"/>
    <w:rsid w:val="00E00043"/>
    <w:rsid w:val="00E66555"/>
    <w:rsid w:val="00E85515"/>
    <w:rsid w:val="00E96CEE"/>
    <w:rsid w:val="00EA65C9"/>
    <w:rsid w:val="00EC7D4E"/>
    <w:rsid w:val="00F10C62"/>
    <w:rsid w:val="00F1145B"/>
    <w:rsid w:val="00F633DC"/>
    <w:rsid w:val="00F84122"/>
    <w:rsid w:val="00F9722E"/>
    <w:rsid w:val="00FB1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3BDA8C"/>
  <w15:docId w15:val="{6A01385E-1153-4D6F-9268-863406B0B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31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81F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Heading1"/>
    <w:qFormat/>
    <w:rsid w:val="00DF31C0"/>
    <w:pPr>
      <w:spacing w:before="480" w:line="276" w:lineRule="auto"/>
      <w:ind w:left="720" w:hanging="720"/>
    </w:pPr>
    <w:rPr>
      <w:rFonts w:ascii="Garamond" w:eastAsia="Calibri" w:hAnsi="Garamond" w:cs="Times New Roman"/>
      <w:b/>
      <w:bCs/>
      <w:color w:val="365F91"/>
      <w:sz w:val="28"/>
      <w:szCs w:val="28"/>
      <w:lang w:val="x-none" w:eastAsia="x-none"/>
    </w:rPr>
  </w:style>
  <w:style w:type="character" w:customStyle="1" w:styleId="Heading1Char">
    <w:name w:val="Heading 1 Char"/>
    <w:basedOn w:val="DefaultParagraphFont"/>
    <w:link w:val="Heading1"/>
    <w:uiPriority w:val="9"/>
    <w:rsid w:val="00DF31C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41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62A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2AB4"/>
    <w:rPr>
      <w:sz w:val="20"/>
      <w:szCs w:val="20"/>
    </w:rPr>
  </w:style>
  <w:style w:type="character" w:styleId="FootnoteReference">
    <w:name w:val="footnote reference"/>
    <w:basedOn w:val="DefaultParagraphFont"/>
    <w:uiPriority w:val="99"/>
    <w:semiHidden/>
    <w:unhideWhenUsed/>
    <w:rsid w:val="00162AB4"/>
    <w:rPr>
      <w:vertAlign w:val="superscript"/>
    </w:rPr>
  </w:style>
  <w:style w:type="paragraph" w:styleId="ListParagraph">
    <w:name w:val="List Paragraph"/>
    <w:basedOn w:val="Normal"/>
    <w:uiPriority w:val="34"/>
    <w:qFormat/>
    <w:rsid w:val="00505317"/>
    <w:pPr>
      <w:ind w:left="720"/>
      <w:contextualSpacing/>
    </w:pPr>
  </w:style>
  <w:style w:type="paragraph" w:styleId="Header">
    <w:name w:val="header"/>
    <w:basedOn w:val="Normal"/>
    <w:link w:val="HeaderChar"/>
    <w:uiPriority w:val="99"/>
    <w:unhideWhenUsed/>
    <w:rsid w:val="00881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FB4"/>
  </w:style>
  <w:style w:type="paragraph" w:styleId="Footer">
    <w:name w:val="footer"/>
    <w:basedOn w:val="Normal"/>
    <w:link w:val="FooterChar"/>
    <w:uiPriority w:val="99"/>
    <w:unhideWhenUsed/>
    <w:rsid w:val="00881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FB4"/>
  </w:style>
  <w:style w:type="character" w:customStyle="1" w:styleId="Heading2Char">
    <w:name w:val="Heading 2 Char"/>
    <w:basedOn w:val="DefaultParagraphFont"/>
    <w:link w:val="Heading2"/>
    <w:uiPriority w:val="9"/>
    <w:rsid w:val="00881FB4"/>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976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07B"/>
    <w:rPr>
      <w:rFonts w:ascii="Tahoma" w:hAnsi="Tahoma" w:cs="Tahoma"/>
      <w:sz w:val="16"/>
      <w:szCs w:val="16"/>
    </w:rPr>
  </w:style>
  <w:style w:type="character" w:styleId="CommentReference">
    <w:name w:val="annotation reference"/>
    <w:basedOn w:val="DefaultParagraphFont"/>
    <w:uiPriority w:val="99"/>
    <w:semiHidden/>
    <w:unhideWhenUsed/>
    <w:rsid w:val="004815AF"/>
    <w:rPr>
      <w:sz w:val="16"/>
      <w:szCs w:val="16"/>
    </w:rPr>
  </w:style>
  <w:style w:type="paragraph" w:styleId="CommentText">
    <w:name w:val="annotation text"/>
    <w:basedOn w:val="Normal"/>
    <w:link w:val="CommentTextChar"/>
    <w:uiPriority w:val="99"/>
    <w:semiHidden/>
    <w:unhideWhenUsed/>
    <w:rsid w:val="004815AF"/>
    <w:pPr>
      <w:spacing w:line="240" w:lineRule="auto"/>
    </w:pPr>
    <w:rPr>
      <w:sz w:val="20"/>
      <w:szCs w:val="20"/>
    </w:rPr>
  </w:style>
  <w:style w:type="character" w:customStyle="1" w:styleId="CommentTextChar">
    <w:name w:val="Comment Text Char"/>
    <w:basedOn w:val="DefaultParagraphFont"/>
    <w:link w:val="CommentText"/>
    <w:uiPriority w:val="99"/>
    <w:semiHidden/>
    <w:rsid w:val="004815AF"/>
    <w:rPr>
      <w:sz w:val="20"/>
      <w:szCs w:val="20"/>
    </w:rPr>
  </w:style>
  <w:style w:type="paragraph" w:styleId="CommentSubject">
    <w:name w:val="annotation subject"/>
    <w:basedOn w:val="CommentText"/>
    <w:next w:val="CommentText"/>
    <w:link w:val="CommentSubjectChar"/>
    <w:uiPriority w:val="99"/>
    <w:semiHidden/>
    <w:unhideWhenUsed/>
    <w:rsid w:val="004815AF"/>
    <w:rPr>
      <w:b/>
      <w:bCs/>
    </w:rPr>
  </w:style>
  <w:style w:type="character" w:customStyle="1" w:styleId="CommentSubjectChar">
    <w:name w:val="Comment Subject Char"/>
    <w:basedOn w:val="CommentTextChar"/>
    <w:link w:val="CommentSubject"/>
    <w:uiPriority w:val="99"/>
    <w:semiHidden/>
    <w:rsid w:val="004815AF"/>
    <w:rPr>
      <w:b/>
      <w:bCs/>
      <w:sz w:val="20"/>
      <w:szCs w:val="20"/>
    </w:rPr>
  </w:style>
  <w:style w:type="character" w:styleId="Hyperlink">
    <w:name w:val="Hyperlink"/>
    <w:basedOn w:val="DefaultParagraphFont"/>
    <w:uiPriority w:val="99"/>
    <w:unhideWhenUsed/>
    <w:rsid w:val="00935D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49B9-FEB9-48DE-BDF4-A813A8D54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9491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Tabor, Brock</dc:creator>
  <cp:lastModifiedBy>Tabor, Brock</cp:lastModifiedBy>
  <cp:revision>2</cp:revision>
  <cp:lastPrinted>2017-02-01T03:14:00Z</cp:lastPrinted>
  <dcterms:created xsi:type="dcterms:W3CDTF">2017-04-13T20:24:00Z</dcterms:created>
  <dcterms:modified xsi:type="dcterms:W3CDTF">2017-04-13T20:24:00Z</dcterms:modified>
</cp:coreProperties>
</file>