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987ED8" w14:textId="77777777" w:rsidR="000D1CAE" w:rsidRPr="00382816" w:rsidRDefault="000D1CAE" w:rsidP="003C1157">
      <w:bookmarkStart w:id="0" w:name="_GoBack"/>
      <w:bookmarkEnd w:id="0"/>
    </w:p>
    <w:p w14:paraId="64987ED9" w14:textId="77777777" w:rsidR="007B3D53" w:rsidRDefault="007B3D53" w:rsidP="007B3D53">
      <w:pPr>
        <w:pStyle w:val="Heading1"/>
        <w:jc w:val="center"/>
        <w:rPr>
          <w:rFonts w:eastAsia="Times New Roman" w:cs="Times New Roman"/>
          <w:bCs w:val="0"/>
          <w:i/>
          <w:sz w:val="32"/>
          <w:szCs w:val="32"/>
          <w:u w:val="none"/>
        </w:rPr>
      </w:pPr>
    </w:p>
    <w:p w14:paraId="64987EDA" w14:textId="77777777" w:rsidR="007B3D53" w:rsidRDefault="007B3D53" w:rsidP="007B3D53">
      <w:pPr>
        <w:pStyle w:val="Heading1"/>
        <w:jc w:val="center"/>
        <w:rPr>
          <w:rFonts w:eastAsia="Times New Roman" w:cs="Times New Roman"/>
          <w:bCs w:val="0"/>
          <w:i/>
          <w:sz w:val="32"/>
          <w:szCs w:val="32"/>
          <w:u w:val="none"/>
        </w:rPr>
      </w:pPr>
    </w:p>
    <w:p w14:paraId="64987EDB" w14:textId="77777777" w:rsidR="007B3D53" w:rsidRDefault="007B3D53" w:rsidP="007B3D53">
      <w:pPr>
        <w:pStyle w:val="Heading1"/>
        <w:jc w:val="center"/>
        <w:rPr>
          <w:rFonts w:eastAsia="Times New Roman" w:cs="Times New Roman"/>
          <w:bCs w:val="0"/>
          <w:i/>
          <w:sz w:val="32"/>
          <w:szCs w:val="32"/>
          <w:u w:val="none"/>
        </w:rPr>
      </w:pPr>
    </w:p>
    <w:p w14:paraId="64987EDC" w14:textId="77777777" w:rsidR="007B3D53" w:rsidRDefault="007B3D53" w:rsidP="007B3D53">
      <w:pPr>
        <w:pStyle w:val="Heading1"/>
        <w:jc w:val="center"/>
        <w:rPr>
          <w:rFonts w:eastAsia="Times New Roman" w:cs="Times New Roman"/>
          <w:bCs w:val="0"/>
          <w:i/>
          <w:sz w:val="32"/>
          <w:szCs w:val="32"/>
          <w:u w:val="none"/>
        </w:rPr>
      </w:pPr>
    </w:p>
    <w:p w14:paraId="7A0C0952" w14:textId="77777777" w:rsidR="002B3BEE" w:rsidRDefault="007B3D53" w:rsidP="005C5B74">
      <w:pPr>
        <w:pStyle w:val="Title"/>
        <w:jc w:val="center"/>
        <w:rPr>
          <w:rFonts w:eastAsia="Times New Roman"/>
          <w:b/>
          <w:color w:val="1F497D" w:themeColor="text2"/>
        </w:rPr>
      </w:pPr>
      <w:r w:rsidRPr="005C5B74">
        <w:rPr>
          <w:rFonts w:eastAsia="Times New Roman"/>
          <w:b/>
          <w:color w:val="1F497D" w:themeColor="text2"/>
        </w:rPr>
        <w:t xml:space="preserve">Literature Review of Fish Consumption </w:t>
      </w:r>
      <w:r w:rsidR="002B3BEE">
        <w:rPr>
          <w:rFonts w:eastAsia="Times New Roman"/>
          <w:b/>
          <w:color w:val="1F497D" w:themeColor="text2"/>
        </w:rPr>
        <w:t xml:space="preserve">Rate </w:t>
      </w:r>
      <w:r w:rsidRPr="005C5B74">
        <w:rPr>
          <w:rFonts w:eastAsia="Times New Roman"/>
          <w:b/>
          <w:color w:val="1F497D" w:themeColor="text2"/>
        </w:rPr>
        <w:t>Research Conducted in the State of Alaska</w:t>
      </w:r>
    </w:p>
    <w:p w14:paraId="1FAFAADA" w14:textId="77777777" w:rsidR="002B3BEE" w:rsidRDefault="002B3BEE" w:rsidP="005C5B74">
      <w:pPr>
        <w:pStyle w:val="Title"/>
        <w:jc w:val="center"/>
        <w:rPr>
          <w:rFonts w:eastAsia="Times New Roman"/>
          <w:b/>
          <w:color w:val="1F497D" w:themeColor="text2"/>
        </w:rPr>
      </w:pPr>
    </w:p>
    <w:p w14:paraId="64987EDD" w14:textId="2F7A4672" w:rsidR="007B3D53" w:rsidRPr="002B3BEE" w:rsidRDefault="00D16DD4" w:rsidP="005C5B74">
      <w:pPr>
        <w:pStyle w:val="Title"/>
        <w:jc w:val="center"/>
        <w:rPr>
          <w:rFonts w:eastAsia="Times New Roman"/>
          <w:b/>
          <w:bCs/>
          <w:color w:val="1F497D" w:themeColor="text2"/>
          <w:sz w:val="36"/>
          <w:szCs w:val="36"/>
        </w:rPr>
      </w:pPr>
      <w:r w:rsidRPr="00D16DD4">
        <w:rPr>
          <w:rFonts w:eastAsia="Times New Roman"/>
          <w:b/>
          <w:color w:val="1F497D" w:themeColor="text2"/>
          <w:sz w:val="36"/>
          <w:szCs w:val="36"/>
          <w:highlight w:val="yellow"/>
        </w:rPr>
        <w:t>October</w:t>
      </w:r>
      <w:r w:rsidR="002028F8" w:rsidRPr="002B3BEE">
        <w:rPr>
          <w:rFonts w:eastAsia="Times New Roman"/>
          <w:b/>
          <w:color w:val="1F497D" w:themeColor="text2"/>
          <w:sz w:val="36"/>
          <w:szCs w:val="36"/>
        </w:rPr>
        <w:t xml:space="preserve"> </w:t>
      </w:r>
      <w:r w:rsidR="000808F5">
        <w:rPr>
          <w:rFonts w:eastAsia="Times New Roman"/>
          <w:b/>
          <w:color w:val="1F497D" w:themeColor="text2"/>
          <w:sz w:val="36"/>
          <w:szCs w:val="36"/>
        </w:rPr>
        <w:t>2015</w:t>
      </w:r>
    </w:p>
    <w:p w14:paraId="64987EDE" w14:textId="77777777" w:rsidR="007B3D53" w:rsidRPr="005C5B74" w:rsidRDefault="007B3D53" w:rsidP="005C5B74">
      <w:pPr>
        <w:pStyle w:val="Title"/>
        <w:jc w:val="center"/>
        <w:rPr>
          <w:rFonts w:asciiTheme="minorHAnsi" w:hAnsiTheme="minorHAnsi"/>
          <w:b/>
          <w:color w:val="1F497D" w:themeColor="text2"/>
        </w:rPr>
      </w:pPr>
    </w:p>
    <w:p w14:paraId="3695B7F6" w14:textId="77777777" w:rsidR="002B3BEE" w:rsidRDefault="002B3BEE" w:rsidP="002B3BEE">
      <w:pPr>
        <w:pStyle w:val="Title"/>
        <w:spacing w:after="120"/>
        <w:contextualSpacing w:val="0"/>
        <w:jc w:val="center"/>
        <w:rPr>
          <w:rFonts w:eastAsia="Times New Roman"/>
          <w:color w:val="1F497D" w:themeColor="text2"/>
          <w:sz w:val="28"/>
        </w:rPr>
      </w:pPr>
    </w:p>
    <w:p w14:paraId="74683353" w14:textId="3D1E0362" w:rsidR="002B3BEE" w:rsidRDefault="00B02182" w:rsidP="002B3BEE">
      <w:pPr>
        <w:pStyle w:val="Title"/>
        <w:spacing w:after="120"/>
        <w:contextualSpacing w:val="0"/>
        <w:jc w:val="center"/>
        <w:rPr>
          <w:rFonts w:eastAsia="Times New Roman"/>
          <w:color w:val="1F497D" w:themeColor="text2"/>
          <w:sz w:val="28"/>
        </w:rPr>
      </w:pPr>
      <w:r>
        <w:rPr>
          <w:rFonts w:eastAsia="Times New Roman"/>
          <w:color w:val="1F497D" w:themeColor="text2"/>
          <w:sz w:val="28"/>
        </w:rPr>
        <w:t xml:space="preserve">Originally </w:t>
      </w:r>
      <w:r w:rsidR="002B3BEE">
        <w:rPr>
          <w:rFonts w:eastAsia="Times New Roman"/>
          <w:color w:val="1F497D" w:themeColor="text2"/>
          <w:sz w:val="28"/>
        </w:rPr>
        <w:t>Prepared by</w:t>
      </w:r>
    </w:p>
    <w:p w14:paraId="64987EDF" w14:textId="5C85F15C" w:rsidR="007B3D53" w:rsidRPr="002B3BEE" w:rsidRDefault="007B3D53" w:rsidP="002B3BEE">
      <w:pPr>
        <w:pStyle w:val="Title"/>
        <w:spacing w:after="120"/>
        <w:contextualSpacing w:val="0"/>
        <w:jc w:val="center"/>
        <w:rPr>
          <w:rFonts w:eastAsia="Times New Roman"/>
          <w:color w:val="1F497D" w:themeColor="text2"/>
          <w:sz w:val="32"/>
          <w:szCs w:val="32"/>
        </w:rPr>
      </w:pPr>
      <w:r w:rsidRPr="002B3BEE">
        <w:rPr>
          <w:rFonts w:eastAsia="Times New Roman"/>
          <w:color w:val="1F497D" w:themeColor="text2"/>
          <w:sz w:val="32"/>
          <w:szCs w:val="32"/>
        </w:rPr>
        <w:t>The Cadmus Group, Inc.</w:t>
      </w:r>
    </w:p>
    <w:p w14:paraId="64987EE0" w14:textId="77777777" w:rsidR="007B3D53" w:rsidRPr="005C5B74" w:rsidRDefault="007B3D53" w:rsidP="002B3BEE">
      <w:pPr>
        <w:pStyle w:val="Title"/>
        <w:spacing w:after="120"/>
        <w:contextualSpacing w:val="0"/>
        <w:jc w:val="center"/>
        <w:rPr>
          <w:rFonts w:eastAsia="Times New Roman"/>
          <w:color w:val="1F497D" w:themeColor="text2"/>
          <w:sz w:val="28"/>
        </w:rPr>
      </w:pPr>
      <w:proofErr w:type="gramStart"/>
      <w:r w:rsidRPr="005C5B74">
        <w:rPr>
          <w:rFonts w:eastAsia="Times New Roman"/>
          <w:color w:val="1F497D" w:themeColor="text2"/>
          <w:sz w:val="28"/>
        </w:rPr>
        <w:t>for</w:t>
      </w:r>
      <w:proofErr w:type="gramEnd"/>
    </w:p>
    <w:p w14:paraId="64987EE1" w14:textId="77777777" w:rsidR="007B3D53" w:rsidRPr="002B3BEE" w:rsidRDefault="007B3D53" w:rsidP="002B3BEE">
      <w:pPr>
        <w:pStyle w:val="Title"/>
        <w:spacing w:after="120"/>
        <w:contextualSpacing w:val="0"/>
        <w:jc w:val="center"/>
        <w:rPr>
          <w:rFonts w:eastAsia="Times New Roman"/>
          <w:color w:val="1F497D" w:themeColor="text2"/>
          <w:sz w:val="32"/>
          <w:szCs w:val="32"/>
        </w:rPr>
      </w:pPr>
      <w:r w:rsidRPr="002B3BEE">
        <w:rPr>
          <w:rFonts w:eastAsia="Times New Roman"/>
          <w:color w:val="1F497D" w:themeColor="text2"/>
          <w:sz w:val="32"/>
          <w:szCs w:val="32"/>
        </w:rPr>
        <w:t>Alaska Department of Conservation</w:t>
      </w:r>
    </w:p>
    <w:p w14:paraId="64987EE3" w14:textId="6F1FC234" w:rsidR="005C5B74" w:rsidRPr="00096125" w:rsidRDefault="000808F5" w:rsidP="005C5B74">
      <w:pPr>
        <w:spacing w:before="0" w:line="276" w:lineRule="auto"/>
        <w:rPr>
          <w:b/>
          <w:color w:val="244061" w:themeColor="accent1" w:themeShade="80"/>
          <w:sz w:val="32"/>
          <w:szCs w:val="20"/>
        </w:rPr>
      </w:pPr>
      <w:r>
        <w:rPr>
          <w:b/>
          <w:noProof/>
          <w:szCs w:val="20"/>
        </w:rPr>
        <mc:AlternateContent>
          <mc:Choice Requires="wps">
            <w:drawing>
              <wp:anchor distT="0" distB="0" distL="114300" distR="114300" simplePos="0" relativeHeight="251659264" behindDoc="0" locked="0" layoutInCell="1" allowOverlap="1" wp14:anchorId="306A3609" wp14:editId="3DD93AEC">
                <wp:simplePos x="0" y="0"/>
                <wp:positionH relativeFrom="column">
                  <wp:posOffset>857250</wp:posOffset>
                </wp:positionH>
                <wp:positionV relativeFrom="paragraph">
                  <wp:posOffset>396875</wp:posOffset>
                </wp:positionV>
                <wp:extent cx="4152900" cy="12192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4152900" cy="1219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38A646" w14:textId="14783BB1" w:rsidR="00D16DD4" w:rsidRPr="00B02182" w:rsidRDefault="00D16DD4">
                            <w:pPr>
                              <w:rPr>
                                <w:b/>
                                <w:i/>
                                <w:iCs/>
                                <w:color w:val="000000"/>
                                <w:sz w:val="23"/>
                                <w:szCs w:val="23"/>
                              </w:rPr>
                            </w:pPr>
                            <w:r w:rsidRPr="00B02182">
                              <w:rPr>
                                <w:b/>
                                <w:i/>
                                <w:iCs/>
                                <w:color w:val="000000"/>
                                <w:sz w:val="23"/>
                                <w:szCs w:val="23"/>
                              </w:rPr>
                              <w:t>This information is distributed solely for the purpose of pre-dissemination peer review under applicable information quality guidelines. It has not been formally disseminated by DEC. It does not represent and should not be construed to represent any Department determination or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6A3609" id="_x0000_t202" coordsize="21600,21600" o:spt="202" path="m,l,21600r21600,l21600,xe">
                <v:stroke joinstyle="miter"/>
                <v:path gradientshapeok="t" o:connecttype="rect"/>
              </v:shapetype>
              <v:shape id="Text Box 1" o:spid="_x0000_s1026" type="#_x0000_t202" style="position:absolute;margin-left:67.5pt;margin-top:31.25pt;width:327pt;height:9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" fillcolor="white [3201]" strokeweight=".5pt">
                <v:textbox>
                  <w:txbxContent>
                    <w:p w14:paraId="2A38A646" w14:textId="14783BB1" w:rsidR="00D16DD4" w:rsidRPr="00B02182" w:rsidRDefault="00D16DD4">
                      <w:pPr>
                        <w:rPr>
                          <w:b/>
                          <w:i/>
                          <w:iCs/>
                          <w:color w:val="000000"/>
                          <w:sz w:val="23"/>
                          <w:szCs w:val="23"/>
                        </w:rPr>
                      </w:pPr>
                      <w:r w:rsidRPr="00B02182">
                        <w:rPr>
                          <w:b/>
                          <w:i/>
                          <w:iCs/>
                          <w:color w:val="000000"/>
                          <w:sz w:val="23"/>
                          <w:szCs w:val="23"/>
                        </w:rPr>
                        <w:t>This information is distributed solely for the purpose of pre-dissemination peer review under applicable information quality guidelines. It has not been formally disseminated by DEC. It does not represent and should not be construed to represent any Department determination or policy.</w:t>
                      </w:r>
                    </w:p>
                  </w:txbxContent>
                </v:textbox>
              </v:shape>
            </w:pict>
          </mc:Fallback>
        </mc:AlternateContent>
      </w:r>
      <w:r w:rsidR="007B3D53">
        <w:rPr>
          <w:b/>
          <w:szCs w:val="20"/>
        </w:rPr>
        <w:br w:type="page"/>
      </w:r>
      <w:r w:rsidR="005C5B74" w:rsidRPr="00096125">
        <w:rPr>
          <w:b/>
          <w:color w:val="244061" w:themeColor="accent1" w:themeShade="80"/>
          <w:sz w:val="36"/>
          <w:szCs w:val="20"/>
        </w:rPr>
        <w:lastRenderedPageBreak/>
        <w:t>Table of Contents</w:t>
      </w:r>
    </w:p>
    <w:p w14:paraId="37947059" w14:textId="1256DE8A" w:rsidR="001D71EB" w:rsidRDefault="00F8698B">
      <w:pPr>
        <w:pStyle w:val="TOC1"/>
        <w:tabs>
          <w:tab w:val="left" w:pos="432"/>
          <w:tab w:val="right" w:leader="dot" w:pos="9350"/>
        </w:tabs>
        <w:rPr>
          <w:rFonts w:asciiTheme="minorHAnsi" w:eastAsiaTheme="minorEastAsia" w:hAnsiTheme="minorHAnsi"/>
          <w:noProof/>
        </w:rPr>
      </w:pPr>
      <w:r w:rsidRPr="001C5DD2">
        <w:rPr>
          <w:b/>
          <w:color w:val="244061" w:themeColor="accent1" w:themeShade="80"/>
          <w:sz w:val="28"/>
          <w:szCs w:val="20"/>
        </w:rPr>
        <w:fldChar w:fldCharType="begin"/>
      </w:r>
      <w:r w:rsidRPr="001C5DD2">
        <w:rPr>
          <w:b/>
          <w:color w:val="244061" w:themeColor="accent1" w:themeShade="80"/>
          <w:sz w:val="28"/>
          <w:szCs w:val="20"/>
        </w:rPr>
        <w:instrText xml:space="preserve"> TOC \h \z \t "Heading 1,2,Section Header,1" </w:instrText>
      </w:r>
      <w:r w:rsidRPr="001C5DD2">
        <w:rPr>
          <w:b/>
          <w:color w:val="244061" w:themeColor="accent1" w:themeShade="80"/>
          <w:sz w:val="28"/>
          <w:szCs w:val="20"/>
        </w:rPr>
        <w:fldChar w:fldCharType="separate"/>
      </w:r>
      <w:hyperlink w:anchor="_Toc391035966" w:history="1">
        <w:r w:rsidR="001D71EB" w:rsidRPr="002B1944">
          <w:rPr>
            <w:rStyle w:val="Hyperlink"/>
            <w:noProof/>
          </w:rPr>
          <w:t>1.</w:t>
        </w:r>
        <w:r w:rsidR="001D71EB">
          <w:rPr>
            <w:rFonts w:asciiTheme="minorHAnsi" w:eastAsiaTheme="minorEastAsia" w:hAnsiTheme="minorHAnsi"/>
            <w:noProof/>
          </w:rPr>
          <w:tab/>
        </w:r>
        <w:r w:rsidR="001D71EB" w:rsidRPr="002B1944">
          <w:rPr>
            <w:rStyle w:val="Hyperlink"/>
            <w:noProof/>
          </w:rPr>
          <w:t>Introduction</w:t>
        </w:r>
        <w:r w:rsidR="001D71EB">
          <w:rPr>
            <w:noProof/>
            <w:webHidden/>
          </w:rPr>
          <w:tab/>
        </w:r>
      </w:hyperlink>
      <w:r w:rsidR="000808F5">
        <w:rPr>
          <w:noProof/>
        </w:rPr>
        <w:t>6</w:t>
      </w:r>
    </w:p>
    <w:p w14:paraId="54A6DDEC" w14:textId="67B7D4F4" w:rsidR="001D71EB" w:rsidRDefault="0030235A">
      <w:pPr>
        <w:pStyle w:val="TOC1"/>
        <w:tabs>
          <w:tab w:val="left" w:pos="432"/>
          <w:tab w:val="right" w:leader="dot" w:pos="9350"/>
        </w:tabs>
        <w:rPr>
          <w:rFonts w:asciiTheme="minorHAnsi" w:eastAsiaTheme="minorEastAsia" w:hAnsiTheme="minorHAnsi"/>
          <w:noProof/>
        </w:rPr>
      </w:pPr>
      <w:hyperlink w:anchor="_Toc391035967" w:history="1">
        <w:r w:rsidR="001D71EB" w:rsidRPr="002B1944">
          <w:rPr>
            <w:rStyle w:val="Hyperlink"/>
            <w:noProof/>
          </w:rPr>
          <w:t>2.</w:t>
        </w:r>
        <w:r w:rsidR="001D71EB">
          <w:rPr>
            <w:rFonts w:asciiTheme="minorHAnsi" w:eastAsiaTheme="minorEastAsia" w:hAnsiTheme="minorHAnsi"/>
            <w:noProof/>
          </w:rPr>
          <w:tab/>
        </w:r>
        <w:r w:rsidR="001D71EB" w:rsidRPr="002B1944">
          <w:rPr>
            <w:rStyle w:val="Hyperlink"/>
            <w:noProof/>
          </w:rPr>
          <w:t>Human Health Ambient Water Quality Criteria and Fish Consumption Rates</w:t>
        </w:r>
        <w:r w:rsidR="001D71EB">
          <w:rPr>
            <w:noProof/>
            <w:webHidden/>
          </w:rPr>
          <w:tab/>
        </w:r>
      </w:hyperlink>
      <w:r w:rsidR="00B67938">
        <w:rPr>
          <w:noProof/>
        </w:rPr>
        <w:t>7</w:t>
      </w:r>
    </w:p>
    <w:p w14:paraId="209C8D8A" w14:textId="12719465" w:rsidR="001D71EB" w:rsidRDefault="0030235A">
      <w:pPr>
        <w:pStyle w:val="TOC2"/>
        <w:tabs>
          <w:tab w:val="right" w:leader="dot" w:pos="9350"/>
        </w:tabs>
        <w:rPr>
          <w:rFonts w:asciiTheme="minorHAnsi" w:eastAsiaTheme="minorEastAsia" w:hAnsiTheme="minorHAnsi"/>
          <w:noProof/>
        </w:rPr>
      </w:pPr>
      <w:hyperlink w:anchor="_Toc391035968" w:history="1">
        <w:r w:rsidR="001D71EB" w:rsidRPr="002B1944">
          <w:rPr>
            <w:rStyle w:val="Hyperlink"/>
            <w:noProof/>
          </w:rPr>
          <w:t>EPA’s Default FCR and Use in Deriving Water Quality Criteria</w:t>
        </w:r>
        <w:r w:rsidR="001D71EB">
          <w:rPr>
            <w:noProof/>
            <w:webHidden/>
          </w:rPr>
          <w:tab/>
        </w:r>
      </w:hyperlink>
      <w:r w:rsidR="00B67938">
        <w:rPr>
          <w:noProof/>
        </w:rPr>
        <w:t>11</w:t>
      </w:r>
    </w:p>
    <w:p w14:paraId="30EEA2B4" w14:textId="2A56B4EB" w:rsidR="001D71EB" w:rsidRDefault="0030235A">
      <w:pPr>
        <w:pStyle w:val="TOC2"/>
        <w:tabs>
          <w:tab w:val="right" w:leader="dot" w:pos="9350"/>
        </w:tabs>
        <w:rPr>
          <w:rFonts w:asciiTheme="minorHAnsi" w:eastAsiaTheme="minorEastAsia" w:hAnsiTheme="minorHAnsi"/>
          <w:noProof/>
        </w:rPr>
      </w:pPr>
      <w:hyperlink w:anchor="_Toc391035969" w:history="1">
        <w:r w:rsidR="001D71EB" w:rsidRPr="002B1944">
          <w:rPr>
            <w:rStyle w:val="Hyperlink"/>
            <w:noProof/>
          </w:rPr>
          <w:t>FCRs in EPA Region 10 States</w:t>
        </w:r>
        <w:r w:rsidR="001D71EB">
          <w:rPr>
            <w:noProof/>
            <w:webHidden/>
          </w:rPr>
          <w:tab/>
        </w:r>
      </w:hyperlink>
      <w:r w:rsidR="00B67938">
        <w:rPr>
          <w:noProof/>
        </w:rPr>
        <w:t>11</w:t>
      </w:r>
    </w:p>
    <w:p w14:paraId="4DE49660" w14:textId="5B67671F" w:rsidR="001D71EB" w:rsidRDefault="0030235A">
      <w:pPr>
        <w:pStyle w:val="TOC2"/>
        <w:tabs>
          <w:tab w:val="right" w:leader="dot" w:pos="9350"/>
        </w:tabs>
        <w:rPr>
          <w:rFonts w:asciiTheme="minorHAnsi" w:eastAsiaTheme="minorEastAsia" w:hAnsiTheme="minorHAnsi"/>
          <w:noProof/>
        </w:rPr>
      </w:pPr>
      <w:hyperlink w:anchor="_Toc391035970" w:history="1">
        <w:r w:rsidR="001D71EB" w:rsidRPr="002B1944">
          <w:rPr>
            <w:rStyle w:val="Hyperlink"/>
            <w:noProof/>
          </w:rPr>
          <w:t>Fish Consumption in Alaska</w:t>
        </w:r>
        <w:r w:rsidR="001D71EB">
          <w:rPr>
            <w:noProof/>
            <w:webHidden/>
          </w:rPr>
          <w:tab/>
        </w:r>
      </w:hyperlink>
      <w:r w:rsidR="00B67938">
        <w:rPr>
          <w:noProof/>
        </w:rPr>
        <w:t>12</w:t>
      </w:r>
    </w:p>
    <w:p w14:paraId="5569C98D" w14:textId="28EC029B" w:rsidR="001D71EB" w:rsidRDefault="0030235A">
      <w:pPr>
        <w:pStyle w:val="TOC1"/>
        <w:tabs>
          <w:tab w:val="left" w:pos="432"/>
          <w:tab w:val="right" w:leader="dot" w:pos="9350"/>
        </w:tabs>
        <w:rPr>
          <w:rFonts w:asciiTheme="minorHAnsi" w:eastAsiaTheme="minorEastAsia" w:hAnsiTheme="minorHAnsi"/>
          <w:noProof/>
        </w:rPr>
      </w:pPr>
      <w:hyperlink w:anchor="_Toc391035971" w:history="1">
        <w:r w:rsidR="001D71EB" w:rsidRPr="002B1944">
          <w:rPr>
            <w:rStyle w:val="Hyperlink"/>
            <w:noProof/>
          </w:rPr>
          <w:t>3.</w:t>
        </w:r>
        <w:r w:rsidR="001D71EB">
          <w:rPr>
            <w:rFonts w:asciiTheme="minorHAnsi" w:eastAsiaTheme="minorEastAsia" w:hAnsiTheme="minorHAnsi"/>
            <w:noProof/>
          </w:rPr>
          <w:tab/>
        </w:r>
        <w:r w:rsidR="001D71EB" w:rsidRPr="002B1944">
          <w:rPr>
            <w:rStyle w:val="Hyperlink"/>
            <w:noProof/>
          </w:rPr>
          <w:t>Research Methods</w:t>
        </w:r>
        <w:r w:rsidR="001D71EB">
          <w:rPr>
            <w:noProof/>
            <w:webHidden/>
          </w:rPr>
          <w:tab/>
        </w:r>
      </w:hyperlink>
      <w:r w:rsidR="000808F5">
        <w:rPr>
          <w:noProof/>
        </w:rPr>
        <w:t>1</w:t>
      </w:r>
      <w:r w:rsidR="00B67938">
        <w:rPr>
          <w:noProof/>
        </w:rPr>
        <w:t>3</w:t>
      </w:r>
    </w:p>
    <w:p w14:paraId="5665F68B" w14:textId="012CAED5" w:rsidR="001D71EB" w:rsidRDefault="0030235A">
      <w:pPr>
        <w:pStyle w:val="TOC2"/>
        <w:tabs>
          <w:tab w:val="right" w:leader="dot" w:pos="9350"/>
        </w:tabs>
        <w:rPr>
          <w:rFonts w:asciiTheme="minorHAnsi" w:eastAsiaTheme="minorEastAsia" w:hAnsiTheme="minorHAnsi"/>
          <w:noProof/>
        </w:rPr>
      </w:pPr>
      <w:hyperlink w:anchor="_Toc391035972" w:history="1">
        <w:r w:rsidR="001D71EB" w:rsidRPr="002B1944">
          <w:rPr>
            <w:rStyle w:val="Hyperlink"/>
            <w:noProof/>
          </w:rPr>
          <w:t>Literature Search</w:t>
        </w:r>
        <w:r w:rsidR="001D71EB">
          <w:rPr>
            <w:noProof/>
            <w:webHidden/>
          </w:rPr>
          <w:tab/>
        </w:r>
      </w:hyperlink>
      <w:r w:rsidR="000808F5">
        <w:rPr>
          <w:noProof/>
        </w:rPr>
        <w:t>1</w:t>
      </w:r>
      <w:r w:rsidR="00B67938">
        <w:rPr>
          <w:noProof/>
        </w:rPr>
        <w:t>3</w:t>
      </w:r>
    </w:p>
    <w:p w14:paraId="20B027E9" w14:textId="2A3BCF89" w:rsidR="001D71EB" w:rsidRDefault="0030235A">
      <w:pPr>
        <w:pStyle w:val="TOC2"/>
        <w:tabs>
          <w:tab w:val="right" w:leader="dot" w:pos="9350"/>
        </w:tabs>
        <w:rPr>
          <w:rFonts w:asciiTheme="minorHAnsi" w:eastAsiaTheme="minorEastAsia" w:hAnsiTheme="minorHAnsi"/>
          <w:noProof/>
        </w:rPr>
      </w:pPr>
      <w:hyperlink w:anchor="_Toc391035973" w:history="1">
        <w:r w:rsidR="001D71EB" w:rsidRPr="002B1944">
          <w:rPr>
            <w:rStyle w:val="Hyperlink"/>
            <w:noProof/>
          </w:rPr>
          <w:t>Consultation with Subject Matter Experts</w:t>
        </w:r>
        <w:r w:rsidR="001D71EB">
          <w:rPr>
            <w:noProof/>
            <w:webHidden/>
          </w:rPr>
          <w:tab/>
        </w:r>
      </w:hyperlink>
      <w:r w:rsidR="000808F5">
        <w:rPr>
          <w:noProof/>
        </w:rPr>
        <w:t>1</w:t>
      </w:r>
      <w:r w:rsidR="00B67938">
        <w:rPr>
          <w:noProof/>
        </w:rPr>
        <w:t>4</w:t>
      </w:r>
    </w:p>
    <w:p w14:paraId="20F7E153" w14:textId="5395906A" w:rsidR="001D71EB" w:rsidRDefault="0030235A">
      <w:pPr>
        <w:pStyle w:val="TOC1"/>
        <w:tabs>
          <w:tab w:val="left" w:pos="432"/>
          <w:tab w:val="right" w:leader="dot" w:pos="9350"/>
        </w:tabs>
        <w:rPr>
          <w:rFonts w:asciiTheme="minorHAnsi" w:eastAsiaTheme="minorEastAsia" w:hAnsiTheme="minorHAnsi"/>
          <w:noProof/>
        </w:rPr>
      </w:pPr>
      <w:hyperlink w:anchor="_Toc391035974" w:history="1">
        <w:r w:rsidR="001D71EB" w:rsidRPr="002B1944">
          <w:rPr>
            <w:rStyle w:val="Hyperlink"/>
            <w:noProof/>
          </w:rPr>
          <w:t>4.</w:t>
        </w:r>
        <w:r w:rsidR="001D71EB">
          <w:rPr>
            <w:rFonts w:asciiTheme="minorHAnsi" w:eastAsiaTheme="minorEastAsia" w:hAnsiTheme="minorHAnsi"/>
            <w:noProof/>
          </w:rPr>
          <w:tab/>
        </w:r>
        <w:r w:rsidR="001D71EB" w:rsidRPr="002B1944">
          <w:rPr>
            <w:rStyle w:val="Hyperlink"/>
            <w:noProof/>
          </w:rPr>
          <w:t>Review of Data Sources</w:t>
        </w:r>
        <w:r w:rsidR="001D71EB">
          <w:rPr>
            <w:noProof/>
            <w:webHidden/>
          </w:rPr>
          <w:tab/>
        </w:r>
      </w:hyperlink>
      <w:r w:rsidR="006D3551">
        <w:rPr>
          <w:noProof/>
        </w:rPr>
        <w:t>1</w:t>
      </w:r>
      <w:r w:rsidR="00B67938">
        <w:rPr>
          <w:noProof/>
        </w:rPr>
        <w:t>4</w:t>
      </w:r>
    </w:p>
    <w:p w14:paraId="608BF229" w14:textId="2BD20917" w:rsidR="001D71EB" w:rsidRDefault="0030235A">
      <w:pPr>
        <w:pStyle w:val="TOC2"/>
        <w:tabs>
          <w:tab w:val="right" w:leader="dot" w:pos="9350"/>
        </w:tabs>
        <w:rPr>
          <w:rFonts w:asciiTheme="minorHAnsi" w:eastAsiaTheme="minorEastAsia" w:hAnsiTheme="minorHAnsi"/>
          <w:noProof/>
        </w:rPr>
      </w:pPr>
      <w:hyperlink w:anchor="_Toc391035975" w:history="1">
        <w:r w:rsidR="001D71EB" w:rsidRPr="002B1944">
          <w:rPr>
            <w:rStyle w:val="Hyperlink"/>
            <w:noProof/>
          </w:rPr>
          <w:t>Dietary Surveys</w:t>
        </w:r>
        <w:r w:rsidR="001D71EB">
          <w:rPr>
            <w:noProof/>
            <w:webHidden/>
          </w:rPr>
          <w:tab/>
        </w:r>
      </w:hyperlink>
      <w:r w:rsidR="006D3551">
        <w:rPr>
          <w:noProof/>
        </w:rPr>
        <w:t>1</w:t>
      </w:r>
      <w:r w:rsidR="00B67938">
        <w:rPr>
          <w:noProof/>
        </w:rPr>
        <w:t>4</w:t>
      </w:r>
    </w:p>
    <w:p w14:paraId="73D5F3E5" w14:textId="33B37998" w:rsidR="001D71EB" w:rsidRDefault="0030235A">
      <w:pPr>
        <w:pStyle w:val="TOC2"/>
        <w:tabs>
          <w:tab w:val="right" w:leader="dot" w:pos="9350"/>
        </w:tabs>
        <w:rPr>
          <w:rFonts w:asciiTheme="minorHAnsi" w:eastAsiaTheme="minorEastAsia" w:hAnsiTheme="minorHAnsi"/>
          <w:noProof/>
        </w:rPr>
      </w:pPr>
      <w:hyperlink w:anchor="_Toc391035976" w:history="1">
        <w:r w:rsidR="001D71EB" w:rsidRPr="002B1944">
          <w:rPr>
            <w:rStyle w:val="Hyperlink"/>
            <w:noProof/>
          </w:rPr>
          <w:t>Harvest Assessment Data</w:t>
        </w:r>
        <w:r w:rsidR="001D71EB">
          <w:rPr>
            <w:noProof/>
            <w:webHidden/>
          </w:rPr>
          <w:tab/>
        </w:r>
      </w:hyperlink>
      <w:r w:rsidR="006D3551">
        <w:rPr>
          <w:noProof/>
        </w:rPr>
        <w:t>3</w:t>
      </w:r>
      <w:r w:rsidR="00B67938">
        <w:rPr>
          <w:noProof/>
        </w:rPr>
        <w:t>4</w:t>
      </w:r>
    </w:p>
    <w:p w14:paraId="71FA92B2" w14:textId="074C8594" w:rsidR="001D71EB" w:rsidRDefault="0030235A">
      <w:pPr>
        <w:pStyle w:val="TOC1"/>
        <w:tabs>
          <w:tab w:val="left" w:pos="432"/>
          <w:tab w:val="right" w:leader="dot" w:pos="9350"/>
        </w:tabs>
        <w:rPr>
          <w:rFonts w:asciiTheme="minorHAnsi" w:eastAsiaTheme="minorEastAsia" w:hAnsiTheme="minorHAnsi"/>
          <w:noProof/>
        </w:rPr>
      </w:pPr>
      <w:hyperlink w:anchor="_Toc391035977" w:history="1">
        <w:r w:rsidR="001D71EB" w:rsidRPr="002B1944">
          <w:rPr>
            <w:rStyle w:val="Hyperlink"/>
            <w:noProof/>
          </w:rPr>
          <w:t>5.</w:t>
        </w:r>
        <w:r w:rsidR="001D71EB">
          <w:rPr>
            <w:rFonts w:asciiTheme="minorHAnsi" w:eastAsiaTheme="minorEastAsia" w:hAnsiTheme="minorHAnsi"/>
            <w:noProof/>
          </w:rPr>
          <w:tab/>
        </w:r>
        <w:r w:rsidR="001D71EB" w:rsidRPr="002B1944">
          <w:rPr>
            <w:rStyle w:val="Hyperlink"/>
            <w:noProof/>
          </w:rPr>
          <w:t>Data Gaps and Potential Limitations</w:t>
        </w:r>
        <w:r w:rsidR="001D71EB">
          <w:rPr>
            <w:noProof/>
            <w:webHidden/>
          </w:rPr>
          <w:tab/>
        </w:r>
      </w:hyperlink>
      <w:r w:rsidR="006D3551">
        <w:rPr>
          <w:noProof/>
        </w:rPr>
        <w:t>3</w:t>
      </w:r>
      <w:r w:rsidR="00B67938">
        <w:rPr>
          <w:noProof/>
        </w:rPr>
        <w:t>6</w:t>
      </w:r>
    </w:p>
    <w:p w14:paraId="34DAB645" w14:textId="4E9D2C4A" w:rsidR="001D71EB" w:rsidRDefault="0030235A">
      <w:pPr>
        <w:pStyle w:val="TOC2"/>
        <w:tabs>
          <w:tab w:val="right" w:leader="dot" w:pos="9350"/>
        </w:tabs>
        <w:rPr>
          <w:rFonts w:asciiTheme="minorHAnsi" w:eastAsiaTheme="minorEastAsia" w:hAnsiTheme="minorHAnsi"/>
          <w:noProof/>
        </w:rPr>
      </w:pPr>
      <w:hyperlink w:anchor="_Toc391035978" w:history="1">
        <w:r w:rsidR="001D71EB" w:rsidRPr="002B1944">
          <w:rPr>
            <w:rStyle w:val="Hyperlink"/>
            <w:noProof/>
          </w:rPr>
          <w:t>Potential Limitations</w:t>
        </w:r>
        <w:r w:rsidR="001D71EB">
          <w:rPr>
            <w:noProof/>
            <w:webHidden/>
          </w:rPr>
          <w:tab/>
        </w:r>
      </w:hyperlink>
      <w:r w:rsidR="006D3551">
        <w:rPr>
          <w:noProof/>
        </w:rPr>
        <w:t>3</w:t>
      </w:r>
      <w:r w:rsidR="00B67938">
        <w:rPr>
          <w:noProof/>
        </w:rPr>
        <w:t>6</w:t>
      </w:r>
    </w:p>
    <w:p w14:paraId="458F356E" w14:textId="176D71B5" w:rsidR="001D71EB" w:rsidRDefault="0030235A">
      <w:pPr>
        <w:pStyle w:val="TOC2"/>
        <w:tabs>
          <w:tab w:val="right" w:leader="dot" w:pos="9350"/>
        </w:tabs>
        <w:rPr>
          <w:rFonts w:asciiTheme="minorHAnsi" w:eastAsiaTheme="minorEastAsia" w:hAnsiTheme="minorHAnsi"/>
          <w:noProof/>
        </w:rPr>
      </w:pPr>
      <w:hyperlink w:anchor="_Toc391035979" w:history="1">
        <w:r w:rsidR="001D71EB" w:rsidRPr="002B1944">
          <w:rPr>
            <w:rStyle w:val="Hyperlink"/>
            <w:noProof/>
          </w:rPr>
          <w:t>Data Gaps</w:t>
        </w:r>
        <w:r w:rsidR="001D71EB">
          <w:rPr>
            <w:noProof/>
            <w:webHidden/>
          </w:rPr>
          <w:tab/>
        </w:r>
      </w:hyperlink>
      <w:r w:rsidR="006D3551">
        <w:rPr>
          <w:noProof/>
        </w:rPr>
        <w:t>3</w:t>
      </w:r>
      <w:r w:rsidR="00B67938">
        <w:rPr>
          <w:noProof/>
        </w:rPr>
        <w:t>7</w:t>
      </w:r>
    </w:p>
    <w:p w14:paraId="220197ED" w14:textId="5CAFF548" w:rsidR="001D71EB" w:rsidRDefault="0030235A">
      <w:pPr>
        <w:pStyle w:val="TOC1"/>
        <w:tabs>
          <w:tab w:val="left" w:pos="432"/>
          <w:tab w:val="right" w:leader="dot" w:pos="9350"/>
        </w:tabs>
        <w:rPr>
          <w:rFonts w:asciiTheme="minorHAnsi" w:eastAsiaTheme="minorEastAsia" w:hAnsiTheme="minorHAnsi"/>
          <w:noProof/>
        </w:rPr>
      </w:pPr>
      <w:hyperlink w:anchor="_Toc391035980" w:history="1">
        <w:r w:rsidR="001D71EB" w:rsidRPr="002B1944">
          <w:rPr>
            <w:rStyle w:val="Hyperlink"/>
            <w:noProof/>
          </w:rPr>
          <w:t>6.</w:t>
        </w:r>
        <w:r w:rsidR="001D71EB">
          <w:rPr>
            <w:rFonts w:asciiTheme="minorHAnsi" w:eastAsiaTheme="minorEastAsia" w:hAnsiTheme="minorHAnsi"/>
            <w:noProof/>
          </w:rPr>
          <w:tab/>
        </w:r>
        <w:r w:rsidR="001D71EB" w:rsidRPr="002B1944">
          <w:rPr>
            <w:rStyle w:val="Hyperlink"/>
            <w:noProof/>
          </w:rPr>
          <w:t>Recommendations</w:t>
        </w:r>
        <w:r w:rsidR="001D71EB">
          <w:rPr>
            <w:noProof/>
            <w:webHidden/>
          </w:rPr>
          <w:tab/>
        </w:r>
      </w:hyperlink>
      <w:r w:rsidR="006D3551">
        <w:rPr>
          <w:noProof/>
        </w:rPr>
        <w:t>3</w:t>
      </w:r>
      <w:r w:rsidR="00B67938">
        <w:rPr>
          <w:noProof/>
        </w:rPr>
        <w:t>8</w:t>
      </w:r>
    </w:p>
    <w:p w14:paraId="322E2635" w14:textId="72C66579" w:rsidR="001D71EB" w:rsidRDefault="0030235A">
      <w:pPr>
        <w:pStyle w:val="TOC1"/>
        <w:tabs>
          <w:tab w:val="left" w:pos="432"/>
          <w:tab w:val="right" w:leader="dot" w:pos="9350"/>
        </w:tabs>
        <w:rPr>
          <w:rFonts w:asciiTheme="minorHAnsi" w:eastAsiaTheme="minorEastAsia" w:hAnsiTheme="minorHAnsi"/>
          <w:noProof/>
        </w:rPr>
      </w:pPr>
      <w:hyperlink w:anchor="_Toc391035981" w:history="1">
        <w:r w:rsidR="001D71EB" w:rsidRPr="002B1944">
          <w:rPr>
            <w:rStyle w:val="Hyperlink"/>
            <w:noProof/>
          </w:rPr>
          <w:t>7.</w:t>
        </w:r>
        <w:r w:rsidR="001D71EB">
          <w:rPr>
            <w:rFonts w:asciiTheme="minorHAnsi" w:eastAsiaTheme="minorEastAsia" w:hAnsiTheme="minorHAnsi"/>
            <w:noProof/>
          </w:rPr>
          <w:tab/>
        </w:r>
        <w:r w:rsidR="001D71EB" w:rsidRPr="002B1944">
          <w:rPr>
            <w:rStyle w:val="Hyperlink"/>
            <w:noProof/>
          </w:rPr>
          <w:t>Resources</w:t>
        </w:r>
        <w:r w:rsidR="001D71EB">
          <w:rPr>
            <w:noProof/>
            <w:webHidden/>
          </w:rPr>
          <w:tab/>
        </w:r>
      </w:hyperlink>
      <w:r w:rsidR="00B67938">
        <w:rPr>
          <w:noProof/>
        </w:rPr>
        <w:t>40</w:t>
      </w:r>
    </w:p>
    <w:p w14:paraId="64987EF2" w14:textId="77777777" w:rsidR="005C5B74" w:rsidRPr="001C5DD2" w:rsidRDefault="00F8698B" w:rsidP="005C5B74">
      <w:pPr>
        <w:spacing w:before="0" w:line="276" w:lineRule="auto"/>
        <w:rPr>
          <w:b/>
          <w:color w:val="244061" w:themeColor="accent1" w:themeShade="80"/>
          <w:szCs w:val="20"/>
        </w:rPr>
      </w:pPr>
      <w:r w:rsidRPr="001C5DD2">
        <w:rPr>
          <w:b/>
          <w:color w:val="244061" w:themeColor="accent1" w:themeShade="80"/>
          <w:sz w:val="28"/>
          <w:szCs w:val="20"/>
        </w:rPr>
        <w:fldChar w:fldCharType="end"/>
      </w:r>
    </w:p>
    <w:p w14:paraId="64987EF3" w14:textId="77777777" w:rsidR="00F8698B" w:rsidRDefault="00F8698B">
      <w:pPr>
        <w:spacing w:before="0" w:line="276" w:lineRule="auto"/>
        <w:rPr>
          <w:b/>
          <w:szCs w:val="20"/>
        </w:rPr>
      </w:pPr>
      <w:r>
        <w:rPr>
          <w:b/>
          <w:szCs w:val="20"/>
        </w:rPr>
        <w:br w:type="page"/>
      </w:r>
    </w:p>
    <w:tbl>
      <w:tblPr>
        <w:tblStyle w:val="TableGrid"/>
        <w:tblW w:w="442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842"/>
        <w:gridCol w:w="6432"/>
      </w:tblGrid>
      <w:tr w:rsidR="00096125" w:rsidRPr="00042971" w14:paraId="64987EF7" w14:textId="77777777" w:rsidTr="00F314C1">
        <w:tc>
          <w:tcPr>
            <w:tcW w:w="1842" w:type="dxa"/>
          </w:tcPr>
          <w:p w14:paraId="64987EF4" w14:textId="77777777" w:rsidR="00096125" w:rsidRDefault="00096125" w:rsidP="00A57356">
            <w:pPr>
              <w:rPr>
                <w:b/>
                <w:sz w:val="28"/>
              </w:rPr>
            </w:pPr>
            <w:bookmarkStart w:id="1" w:name="_Toc390121640"/>
            <w:bookmarkStart w:id="2" w:name="_Toc390121731"/>
            <w:bookmarkStart w:id="3" w:name="_Toc390121868"/>
            <w:r w:rsidRPr="009D701A">
              <w:rPr>
                <w:b/>
                <w:sz w:val="28"/>
              </w:rPr>
              <w:lastRenderedPageBreak/>
              <w:t>Acronyms</w:t>
            </w:r>
          </w:p>
          <w:p w14:paraId="64987EF5" w14:textId="77777777" w:rsidR="009D701A" w:rsidRPr="009D701A" w:rsidRDefault="009D701A" w:rsidP="00A57356">
            <w:pPr>
              <w:rPr>
                <w:b/>
              </w:rPr>
            </w:pPr>
          </w:p>
        </w:tc>
        <w:tc>
          <w:tcPr>
            <w:tcW w:w="6432" w:type="dxa"/>
          </w:tcPr>
          <w:p w14:paraId="64987EF6" w14:textId="77777777" w:rsidR="00096125" w:rsidRPr="00042971" w:rsidRDefault="00096125" w:rsidP="00A57356">
            <w:pPr>
              <w:rPr>
                <w:b/>
              </w:rPr>
            </w:pPr>
          </w:p>
        </w:tc>
      </w:tr>
      <w:tr w:rsidR="00096125" w14:paraId="64987EFA" w14:textId="77777777" w:rsidTr="00F314C1">
        <w:tc>
          <w:tcPr>
            <w:tcW w:w="1842" w:type="dxa"/>
          </w:tcPr>
          <w:p w14:paraId="64987EF8" w14:textId="77777777" w:rsidR="00096125" w:rsidRDefault="00096125" w:rsidP="00A57356">
            <w:r>
              <w:t>ADEC</w:t>
            </w:r>
          </w:p>
        </w:tc>
        <w:tc>
          <w:tcPr>
            <w:tcW w:w="6432" w:type="dxa"/>
          </w:tcPr>
          <w:p w14:paraId="64987EF9" w14:textId="77777777" w:rsidR="00096125" w:rsidRDefault="00096125" w:rsidP="00A57356">
            <w:r>
              <w:t>Alaska Department of Environmental Conservation</w:t>
            </w:r>
          </w:p>
        </w:tc>
      </w:tr>
      <w:tr w:rsidR="00096125" w14:paraId="64987EFD" w14:textId="77777777" w:rsidTr="00F314C1">
        <w:tc>
          <w:tcPr>
            <w:tcW w:w="1842" w:type="dxa"/>
          </w:tcPr>
          <w:p w14:paraId="7470BD9A" w14:textId="77777777" w:rsidR="00096125" w:rsidRDefault="00096125" w:rsidP="00A57356">
            <w:r>
              <w:t>ADF&amp;G</w:t>
            </w:r>
          </w:p>
          <w:p w14:paraId="64987EFB" w14:textId="2426B069" w:rsidR="00ED5C39" w:rsidRDefault="00ED5C39" w:rsidP="00A57356">
            <w:r>
              <w:t>APDES</w:t>
            </w:r>
          </w:p>
        </w:tc>
        <w:tc>
          <w:tcPr>
            <w:tcW w:w="6432" w:type="dxa"/>
          </w:tcPr>
          <w:p w14:paraId="3E8494FF" w14:textId="77777777" w:rsidR="00096125" w:rsidRDefault="00096125" w:rsidP="00A57356">
            <w:r>
              <w:t>Alaska Department of Fish and Game</w:t>
            </w:r>
          </w:p>
          <w:p w14:paraId="64987EFC" w14:textId="7F54D4B2" w:rsidR="00ED5C39" w:rsidRDefault="00ED5C39" w:rsidP="00A57356">
            <w:r>
              <w:t>Alaska Pollutant Discharge Elimination System</w:t>
            </w:r>
          </w:p>
        </w:tc>
      </w:tr>
      <w:tr w:rsidR="00096125" w14:paraId="64987F03" w14:textId="77777777" w:rsidTr="00F314C1">
        <w:tc>
          <w:tcPr>
            <w:tcW w:w="1842" w:type="dxa"/>
          </w:tcPr>
          <w:p w14:paraId="64987F01" w14:textId="77777777" w:rsidR="00096125" w:rsidRDefault="00096125" w:rsidP="00A57356">
            <w:r>
              <w:t>ASFDB</w:t>
            </w:r>
          </w:p>
        </w:tc>
        <w:tc>
          <w:tcPr>
            <w:tcW w:w="6432" w:type="dxa"/>
          </w:tcPr>
          <w:p w14:paraId="64987F02" w14:textId="77777777" w:rsidR="00096125" w:rsidRPr="00C557C5" w:rsidRDefault="00096125" w:rsidP="00A57356">
            <w:r>
              <w:t>Alaska Subsistence Fisheries Database</w:t>
            </w:r>
          </w:p>
        </w:tc>
      </w:tr>
      <w:tr w:rsidR="00096125" w14:paraId="64987F06" w14:textId="77777777" w:rsidTr="00F314C1">
        <w:tc>
          <w:tcPr>
            <w:tcW w:w="1842" w:type="dxa"/>
          </w:tcPr>
          <w:p w14:paraId="64987F04" w14:textId="77777777" w:rsidR="00096125" w:rsidRDefault="00096125" w:rsidP="00A57356">
            <w:r>
              <w:t>ATSDR</w:t>
            </w:r>
          </w:p>
        </w:tc>
        <w:tc>
          <w:tcPr>
            <w:tcW w:w="6432" w:type="dxa"/>
          </w:tcPr>
          <w:p w14:paraId="64987F05" w14:textId="69F497E9" w:rsidR="00096125" w:rsidRDefault="009C6874" w:rsidP="00A57356">
            <w:r>
              <w:t xml:space="preserve">U.S. </w:t>
            </w:r>
            <w:r w:rsidR="00096125" w:rsidRPr="00C557C5">
              <w:t>Agency for Toxic Substances and Disease Registry</w:t>
            </w:r>
          </w:p>
        </w:tc>
      </w:tr>
      <w:tr w:rsidR="00096125" w14:paraId="64987F09" w14:textId="77777777" w:rsidTr="00F314C1">
        <w:tc>
          <w:tcPr>
            <w:tcW w:w="1842" w:type="dxa"/>
          </w:tcPr>
          <w:p w14:paraId="64987F07" w14:textId="77777777" w:rsidR="00096125" w:rsidRDefault="00096125" w:rsidP="00A57356">
            <w:r>
              <w:t>BBAHC</w:t>
            </w:r>
          </w:p>
        </w:tc>
        <w:tc>
          <w:tcPr>
            <w:tcW w:w="6432" w:type="dxa"/>
          </w:tcPr>
          <w:p w14:paraId="64987F08" w14:textId="77777777" w:rsidR="00096125" w:rsidRDefault="00096125" w:rsidP="00A57356">
            <w:r>
              <w:t>Bristol Bay Area Health Corporation</w:t>
            </w:r>
          </w:p>
        </w:tc>
      </w:tr>
      <w:tr w:rsidR="00096125" w14:paraId="64987F0C" w14:textId="77777777" w:rsidTr="00F314C1">
        <w:tc>
          <w:tcPr>
            <w:tcW w:w="1842" w:type="dxa"/>
          </w:tcPr>
          <w:p w14:paraId="64987F0A" w14:textId="77777777" w:rsidR="00096125" w:rsidRDefault="00096125" w:rsidP="00A57356">
            <w:r>
              <w:t>CSIS</w:t>
            </w:r>
          </w:p>
        </w:tc>
        <w:tc>
          <w:tcPr>
            <w:tcW w:w="6432" w:type="dxa"/>
          </w:tcPr>
          <w:p w14:paraId="64987F0B" w14:textId="77777777" w:rsidR="00096125" w:rsidRDefault="00096125" w:rsidP="00A57356">
            <w:r>
              <w:t>Community Subsistence Information System</w:t>
            </w:r>
          </w:p>
        </w:tc>
      </w:tr>
      <w:tr w:rsidR="00096125" w14:paraId="64987F0F" w14:textId="77777777" w:rsidTr="00F314C1">
        <w:tc>
          <w:tcPr>
            <w:tcW w:w="1842" w:type="dxa"/>
          </w:tcPr>
          <w:p w14:paraId="64987F0D" w14:textId="77777777" w:rsidR="00096125" w:rsidRDefault="00096125" w:rsidP="00A57356">
            <w:r>
              <w:t>CWA</w:t>
            </w:r>
          </w:p>
        </w:tc>
        <w:tc>
          <w:tcPr>
            <w:tcW w:w="6432" w:type="dxa"/>
          </w:tcPr>
          <w:p w14:paraId="64987F0E" w14:textId="77777777" w:rsidR="00096125" w:rsidRDefault="00096125" w:rsidP="00A57356">
            <w:r>
              <w:t>Clean Water Act</w:t>
            </w:r>
          </w:p>
        </w:tc>
      </w:tr>
      <w:tr w:rsidR="00096125" w14:paraId="64987F12" w14:textId="77777777" w:rsidTr="00F314C1">
        <w:tc>
          <w:tcPr>
            <w:tcW w:w="1842" w:type="dxa"/>
          </w:tcPr>
          <w:p w14:paraId="3B6FB8D9" w14:textId="0709F475" w:rsidR="00ED3987" w:rsidRDefault="00ED3987" w:rsidP="00A57356">
            <w:r>
              <w:t>DDT</w:t>
            </w:r>
          </w:p>
          <w:p w14:paraId="64987F10" w14:textId="77777777" w:rsidR="00096125" w:rsidRDefault="00096125" w:rsidP="00A57356">
            <w:r>
              <w:t>DHSS</w:t>
            </w:r>
          </w:p>
        </w:tc>
        <w:tc>
          <w:tcPr>
            <w:tcW w:w="6432" w:type="dxa"/>
          </w:tcPr>
          <w:p w14:paraId="36B5A91C" w14:textId="41E880A6" w:rsidR="00ED3987" w:rsidRDefault="00ED3987" w:rsidP="00A57356">
            <w:proofErr w:type="spellStart"/>
            <w:r>
              <w:t>D</w:t>
            </w:r>
            <w:r w:rsidRPr="00006654">
              <w:t>ichloro</w:t>
            </w:r>
            <w:proofErr w:type="spellEnd"/>
            <w:r w:rsidRPr="00006654">
              <w:t>-diphenyl-</w:t>
            </w:r>
            <w:proofErr w:type="spellStart"/>
            <w:r w:rsidRPr="00006654">
              <w:t>trichloroethane</w:t>
            </w:r>
            <w:proofErr w:type="spellEnd"/>
          </w:p>
          <w:p w14:paraId="64987F11" w14:textId="77777777" w:rsidR="00096125" w:rsidRDefault="00096125" w:rsidP="00A57356">
            <w:r>
              <w:t>Alaska Department of Health and Social Services</w:t>
            </w:r>
          </w:p>
        </w:tc>
      </w:tr>
      <w:tr w:rsidR="00096125" w14:paraId="64987F15" w14:textId="77777777" w:rsidTr="00F314C1">
        <w:tc>
          <w:tcPr>
            <w:tcW w:w="1842" w:type="dxa"/>
          </w:tcPr>
          <w:p w14:paraId="64987F13" w14:textId="77777777" w:rsidR="00096125" w:rsidRDefault="00096125" w:rsidP="00A57356">
            <w:r>
              <w:t>DOE</w:t>
            </w:r>
          </w:p>
        </w:tc>
        <w:tc>
          <w:tcPr>
            <w:tcW w:w="6432" w:type="dxa"/>
          </w:tcPr>
          <w:p w14:paraId="64987F14" w14:textId="4D3CD1C9" w:rsidR="00096125" w:rsidRDefault="00096125" w:rsidP="00A57356">
            <w:r>
              <w:t>U</w:t>
            </w:r>
            <w:r w:rsidR="0062644E">
              <w:t>.</w:t>
            </w:r>
            <w:r>
              <w:t>S</w:t>
            </w:r>
            <w:r w:rsidR="0062644E">
              <w:t>.</w:t>
            </w:r>
            <w:r>
              <w:t xml:space="preserve"> Department of Energy</w:t>
            </w:r>
          </w:p>
        </w:tc>
      </w:tr>
      <w:tr w:rsidR="00096125" w14:paraId="64987F18" w14:textId="77777777" w:rsidTr="00F314C1">
        <w:tc>
          <w:tcPr>
            <w:tcW w:w="1842" w:type="dxa"/>
          </w:tcPr>
          <w:p w14:paraId="64987F16" w14:textId="77777777" w:rsidR="00096125" w:rsidRDefault="00096125" w:rsidP="00A57356">
            <w:r>
              <w:t>EPA</w:t>
            </w:r>
          </w:p>
        </w:tc>
        <w:tc>
          <w:tcPr>
            <w:tcW w:w="6432" w:type="dxa"/>
          </w:tcPr>
          <w:p w14:paraId="64987F17" w14:textId="33EE7B74" w:rsidR="00096125" w:rsidRDefault="009C6874" w:rsidP="00A57356">
            <w:r>
              <w:t xml:space="preserve">U.S. </w:t>
            </w:r>
            <w:r w:rsidR="00096125">
              <w:t>Environmental Protection Agency</w:t>
            </w:r>
          </w:p>
        </w:tc>
      </w:tr>
      <w:tr w:rsidR="00096125" w14:paraId="64987F1B" w14:textId="77777777" w:rsidTr="00F314C1">
        <w:tc>
          <w:tcPr>
            <w:tcW w:w="1842" w:type="dxa"/>
          </w:tcPr>
          <w:p w14:paraId="64987F19" w14:textId="77777777" w:rsidR="00096125" w:rsidRDefault="00096125" w:rsidP="00A57356">
            <w:r>
              <w:t>FCR</w:t>
            </w:r>
          </w:p>
        </w:tc>
        <w:tc>
          <w:tcPr>
            <w:tcW w:w="6432" w:type="dxa"/>
          </w:tcPr>
          <w:p w14:paraId="64987F1A" w14:textId="77777777" w:rsidR="00096125" w:rsidRDefault="00096125" w:rsidP="00A57356">
            <w:r>
              <w:t>Fish Consumption Rate</w:t>
            </w:r>
          </w:p>
        </w:tc>
      </w:tr>
      <w:tr w:rsidR="00096125" w14:paraId="64987F1E" w14:textId="77777777" w:rsidTr="00F314C1">
        <w:tc>
          <w:tcPr>
            <w:tcW w:w="1842" w:type="dxa"/>
          </w:tcPr>
          <w:p w14:paraId="64987F1C" w14:textId="77777777" w:rsidR="00096125" w:rsidRDefault="00096125" w:rsidP="00A57356">
            <w:r>
              <w:t>FFQ</w:t>
            </w:r>
          </w:p>
        </w:tc>
        <w:tc>
          <w:tcPr>
            <w:tcW w:w="6432" w:type="dxa"/>
          </w:tcPr>
          <w:p w14:paraId="64987F1D" w14:textId="77777777" w:rsidR="00096125" w:rsidRDefault="00096125" w:rsidP="00A57356">
            <w:r>
              <w:t>Food Frequency Questionnaire</w:t>
            </w:r>
          </w:p>
        </w:tc>
      </w:tr>
      <w:tr w:rsidR="00096125" w14:paraId="64987F21" w14:textId="77777777" w:rsidTr="00F314C1">
        <w:tc>
          <w:tcPr>
            <w:tcW w:w="1842" w:type="dxa"/>
          </w:tcPr>
          <w:p w14:paraId="64987F1F" w14:textId="77777777" w:rsidR="00096125" w:rsidRDefault="00096125" w:rsidP="00A57356">
            <w:r>
              <w:t>FMRs</w:t>
            </w:r>
          </w:p>
        </w:tc>
        <w:tc>
          <w:tcPr>
            <w:tcW w:w="6432" w:type="dxa"/>
          </w:tcPr>
          <w:p w14:paraId="64987F20" w14:textId="77777777" w:rsidR="00096125" w:rsidRDefault="00096125" w:rsidP="00A57356">
            <w:r>
              <w:t>Fishery Management Reports</w:t>
            </w:r>
          </w:p>
        </w:tc>
      </w:tr>
      <w:tr w:rsidR="00096125" w14:paraId="64987F24" w14:textId="77777777" w:rsidTr="00F314C1">
        <w:tc>
          <w:tcPr>
            <w:tcW w:w="1842" w:type="dxa"/>
          </w:tcPr>
          <w:p w14:paraId="62FE0BBD" w14:textId="77777777" w:rsidR="00096125" w:rsidRDefault="00096125" w:rsidP="00A57356">
            <w:r>
              <w:t>g/day</w:t>
            </w:r>
          </w:p>
          <w:p w14:paraId="64987F22" w14:textId="4715346A" w:rsidR="002028F8" w:rsidRDefault="002028F8" w:rsidP="00A57356">
            <w:r>
              <w:t>HHC</w:t>
            </w:r>
          </w:p>
        </w:tc>
        <w:tc>
          <w:tcPr>
            <w:tcW w:w="6432" w:type="dxa"/>
          </w:tcPr>
          <w:p w14:paraId="41901B02" w14:textId="77777777" w:rsidR="00096125" w:rsidRDefault="00ED3987" w:rsidP="00A57356">
            <w:r>
              <w:t>G</w:t>
            </w:r>
            <w:r w:rsidR="00096125">
              <w:t>rams per day</w:t>
            </w:r>
          </w:p>
          <w:p w14:paraId="64987F23" w14:textId="5068E3F5" w:rsidR="002028F8" w:rsidRDefault="002028F8" w:rsidP="00A57356">
            <w:r>
              <w:t>Human health criteria</w:t>
            </w:r>
          </w:p>
        </w:tc>
      </w:tr>
      <w:tr w:rsidR="00096125" w14:paraId="64987F27" w14:textId="77777777" w:rsidTr="00F314C1">
        <w:tc>
          <w:tcPr>
            <w:tcW w:w="1842" w:type="dxa"/>
          </w:tcPr>
          <w:p w14:paraId="64987F25" w14:textId="77777777" w:rsidR="00096125" w:rsidRDefault="00096125" w:rsidP="00A57356">
            <w:r>
              <w:t>IHS</w:t>
            </w:r>
          </w:p>
        </w:tc>
        <w:tc>
          <w:tcPr>
            <w:tcW w:w="6432" w:type="dxa"/>
          </w:tcPr>
          <w:p w14:paraId="64987F26" w14:textId="57317A37" w:rsidR="00096125" w:rsidRDefault="009C6874" w:rsidP="00A57356">
            <w:r>
              <w:t xml:space="preserve">U.S. </w:t>
            </w:r>
            <w:r w:rsidR="00096125">
              <w:t>Indian Health Service</w:t>
            </w:r>
          </w:p>
        </w:tc>
      </w:tr>
      <w:tr w:rsidR="00096125" w14:paraId="64987F2A" w14:textId="77777777" w:rsidTr="00F314C1">
        <w:tc>
          <w:tcPr>
            <w:tcW w:w="1842" w:type="dxa"/>
          </w:tcPr>
          <w:p w14:paraId="64987F28" w14:textId="77777777" w:rsidR="00096125" w:rsidRDefault="00096125" w:rsidP="00A57356">
            <w:r>
              <w:t>NSHC</w:t>
            </w:r>
          </w:p>
        </w:tc>
        <w:tc>
          <w:tcPr>
            <w:tcW w:w="6432" w:type="dxa"/>
          </w:tcPr>
          <w:p w14:paraId="64987F29" w14:textId="77777777" w:rsidR="00096125" w:rsidRDefault="00096125" w:rsidP="00A57356">
            <w:r>
              <w:t>Norton Sound Health Corporation</w:t>
            </w:r>
          </w:p>
        </w:tc>
      </w:tr>
      <w:tr w:rsidR="00ED3987" w14:paraId="3BDB2E03" w14:textId="77777777" w:rsidTr="00F314C1">
        <w:tc>
          <w:tcPr>
            <w:tcW w:w="1842" w:type="dxa"/>
          </w:tcPr>
          <w:p w14:paraId="54BCE1E0" w14:textId="1524296B" w:rsidR="00ED3987" w:rsidRDefault="00ED3987" w:rsidP="00A57356">
            <w:r>
              <w:t>PCB</w:t>
            </w:r>
          </w:p>
        </w:tc>
        <w:tc>
          <w:tcPr>
            <w:tcW w:w="6432" w:type="dxa"/>
          </w:tcPr>
          <w:p w14:paraId="6D324057" w14:textId="6EDE528F" w:rsidR="00ED3987" w:rsidRDefault="00ED3987" w:rsidP="00A57356">
            <w:r w:rsidRPr="00006654">
              <w:t>Polychlorinated biphenyls</w:t>
            </w:r>
          </w:p>
        </w:tc>
      </w:tr>
      <w:tr w:rsidR="00096125" w14:paraId="64987F30" w14:textId="77777777" w:rsidTr="00F314C1">
        <w:tc>
          <w:tcPr>
            <w:tcW w:w="1842" w:type="dxa"/>
          </w:tcPr>
          <w:p w14:paraId="64987F2E" w14:textId="77777777" w:rsidR="00096125" w:rsidRDefault="00096125" w:rsidP="00A57356">
            <w:r>
              <w:t>SEARHC</w:t>
            </w:r>
          </w:p>
        </w:tc>
        <w:tc>
          <w:tcPr>
            <w:tcW w:w="6432" w:type="dxa"/>
          </w:tcPr>
          <w:p w14:paraId="64987F2F" w14:textId="0530879A" w:rsidR="00096125" w:rsidRDefault="00096125" w:rsidP="00A57356">
            <w:r>
              <w:t>South</w:t>
            </w:r>
            <w:r w:rsidR="003D4EF7">
              <w:t>e</w:t>
            </w:r>
            <w:r>
              <w:t>ast Alaska Regional Health Consortium</w:t>
            </w:r>
          </w:p>
        </w:tc>
      </w:tr>
      <w:tr w:rsidR="00096125" w14:paraId="64987F33" w14:textId="77777777" w:rsidTr="00F314C1">
        <w:tc>
          <w:tcPr>
            <w:tcW w:w="1842" w:type="dxa"/>
          </w:tcPr>
          <w:p w14:paraId="64987F31" w14:textId="77777777" w:rsidR="00096125" w:rsidRDefault="00096125" w:rsidP="00A57356">
            <w:r>
              <w:t>TCC</w:t>
            </w:r>
          </w:p>
        </w:tc>
        <w:tc>
          <w:tcPr>
            <w:tcW w:w="6432" w:type="dxa"/>
          </w:tcPr>
          <w:p w14:paraId="64987F32" w14:textId="77777777" w:rsidR="00096125" w:rsidRDefault="00096125" w:rsidP="00A57356">
            <w:r>
              <w:t>Tanana Chief’s Conference Region</w:t>
            </w:r>
          </w:p>
        </w:tc>
      </w:tr>
      <w:tr w:rsidR="00096125" w14:paraId="64987F3C" w14:textId="77777777" w:rsidTr="00F314C1">
        <w:tc>
          <w:tcPr>
            <w:tcW w:w="1842" w:type="dxa"/>
          </w:tcPr>
          <w:p w14:paraId="64987F3A" w14:textId="77777777" w:rsidR="00096125" w:rsidRDefault="00096125" w:rsidP="00A57356">
            <w:r>
              <w:t>YKHC</w:t>
            </w:r>
          </w:p>
        </w:tc>
        <w:tc>
          <w:tcPr>
            <w:tcW w:w="6432" w:type="dxa"/>
          </w:tcPr>
          <w:p w14:paraId="64987F3B" w14:textId="77777777" w:rsidR="00096125" w:rsidRDefault="00096125" w:rsidP="00A57356">
            <w:r>
              <w:rPr>
                <w:szCs w:val="20"/>
              </w:rPr>
              <w:t>Yukon-Kuskokwim Health Corporation</w:t>
            </w:r>
          </w:p>
        </w:tc>
      </w:tr>
    </w:tbl>
    <w:p w14:paraId="64987F3D" w14:textId="77777777" w:rsidR="00096125" w:rsidRDefault="00096125" w:rsidP="00096125">
      <w:pPr>
        <w:pStyle w:val="SectionHeader"/>
        <w:numPr>
          <w:ilvl w:val="0"/>
          <w:numId w:val="0"/>
        </w:numPr>
        <w:ind w:left="360"/>
      </w:pPr>
    </w:p>
    <w:p w14:paraId="64987F3E" w14:textId="77777777" w:rsidR="00096125" w:rsidRDefault="00096125">
      <w:pPr>
        <w:spacing w:before="0" w:line="276" w:lineRule="auto"/>
        <w:rPr>
          <w:b/>
          <w:color w:val="0F243E" w:themeColor="text2" w:themeShade="80"/>
          <w:szCs w:val="20"/>
        </w:rPr>
      </w:pPr>
      <w:r>
        <w:br w:type="page"/>
      </w:r>
    </w:p>
    <w:p w14:paraId="64987F3F" w14:textId="77777777" w:rsidR="00096125" w:rsidRDefault="00096125" w:rsidP="00096125">
      <w:pPr>
        <w:pStyle w:val="SectionHeader"/>
        <w:numPr>
          <w:ilvl w:val="0"/>
          <w:numId w:val="0"/>
        </w:numPr>
        <w:ind w:left="360"/>
      </w:pPr>
      <w:r>
        <w:lastRenderedPageBreak/>
        <w:t xml:space="preserve"> </w:t>
      </w:r>
    </w:p>
    <w:p w14:paraId="39745EF7" w14:textId="3F512EE4" w:rsidR="0062644E" w:rsidRPr="00584074" w:rsidRDefault="0062644E" w:rsidP="00584074">
      <w:pPr>
        <w:spacing w:before="5160"/>
        <w:jc w:val="center"/>
        <w:rPr>
          <w:i/>
          <w:sz w:val="20"/>
        </w:rPr>
      </w:pPr>
      <w:r w:rsidRPr="00584074">
        <w:rPr>
          <w:i/>
          <w:sz w:val="20"/>
        </w:rPr>
        <w:t>Page Intentionally Left Blank</w:t>
      </w:r>
    </w:p>
    <w:p w14:paraId="09157578" w14:textId="7EB9000D" w:rsidR="000808F5" w:rsidRDefault="0062644E" w:rsidP="0030235A">
      <w:pPr>
        <w:spacing w:before="240"/>
        <w:rPr>
          <w:sz w:val="23"/>
          <w:szCs w:val="23"/>
        </w:rPr>
      </w:pPr>
      <w:r>
        <w:br w:type="page"/>
      </w:r>
      <w:r w:rsidR="000808F5">
        <w:rPr>
          <w:sz w:val="23"/>
          <w:szCs w:val="23"/>
        </w:rPr>
        <w:lastRenderedPageBreak/>
        <w:t xml:space="preserve">The initial draft report was developed by The Cadmus Group Inc. (Cadmus) under DEC Contract </w:t>
      </w:r>
      <w:r w:rsidR="000808F5">
        <w:rPr>
          <w:rFonts w:ascii="Verdana" w:hAnsi="Verdana"/>
          <w:sz w:val="20"/>
          <w:szCs w:val="20"/>
        </w:rPr>
        <w:t>18-6002-15-02</w:t>
      </w:r>
      <w:r w:rsidR="000808F5">
        <w:rPr>
          <w:sz w:val="23"/>
          <w:szCs w:val="23"/>
        </w:rPr>
        <w:t xml:space="preserve">. Cadmus, under contract with the Alaska Department of Environmental Conservation, Division of Water developed a report titled </w:t>
      </w:r>
      <w:r w:rsidR="000808F5">
        <w:rPr>
          <w:i/>
          <w:iCs/>
          <w:sz w:val="23"/>
          <w:szCs w:val="23"/>
        </w:rPr>
        <w:t xml:space="preserve">Literature Review of Fish Consumption Rate Research Conducted in the State of Alaska (2014) </w:t>
      </w:r>
      <w:r w:rsidR="000808F5">
        <w:rPr>
          <w:sz w:val="23"/>
          <w:szCs w:val="23"/>
        </w:rPr>
        <w:t>to identify research that may be relevant to State efforts to revise human health criteria in water quality standards. Cadmus is an EPA-approved contractor and has conducted similar forms of research in the past. This document evolved out of that report.</w:t>
      </w:r>
    </w:p>
    <w:p w14:paraId="17482249" w14:textId="77777777" w:rsidR="000808F5" w:rsidRDefault="000808F5" w:rsidP="000808F5">
      <w:pPr>
        <w:rPr>
          <w:b/>
          <w:bCs/>
          <w:sz w:val="23"/>
          <w:szCs w:val="23"/>
        </w:rPr>
      </w:pPr>
      <w:r>
        <w:rPr>
          <w:b/>
          <w:bCs/>
          <w:sz w:val="23"/>
          <w:szCs w:val="23"/>
        </w:rPr>
        <w:t>External Peer Review Workgroup</w:t>
      </w:r>
    </w:p>
    <w:p w14:paraId="5DD17920" w14:textId="5726DC7A" w:rsidR="000808F5" w:rsidRDefault="000808F5" w:rsidP="000808F5">
      <w:r>
        <w:t xml:space="preserve">This document has been subject to external peer review.  General process guidance was provided by EPA’s Peer Review Handbook (2012). </w:t>
      </w:r>
    </w:p>
    <w:p w14:paraId="482096A4" w14:textId="77777777" w:rsidR="000808F5" w:rsidRDefault="000808F5" w:rsidP="000808F5">
      <w:r>
        <w:t xml:space="preserve">Potential areas for conflict of interest have been investigated via direct inquiry with the potential peer reviewers and review of their current and past affiliations. Reviewers did not have conflicts of interest. </w:t>
      </w:r>
    </w:p>
    <w:p w14:paraId="253FFF80" w14:textId="63D8803F" w:rsidR="000808F5" w:rsidRDefault="007309F3" w:rsidP="000808F5">
      <w:r>
        <w:t>The peer review panel</w:t>
      </w:r>
      <w:r w:rsidR="000808F5">
        <w:t xml:space="preserve"> included: </w:t>
      </w:r>
    </w:p>
    <w:p w14:paraId="35FA3706" w14:textId="06423753" w:rsidR="007309F3" w:rsidRDefault="007309F3" w:rsidP="007309F3">
      <w:r w:rsidRPr="007309F3">
        <w:t>Dr. Lon Kissinger</w:t>
      </w:r>
      <w:r w:rsidR="00025DE8">
        <w:t>-</w:t>
      </w:r>
      <w:r w:rsidRPr="007309F3">
        <w:t xml:space="preserve"> U.S. EPA. Region 10. Risk Evaluation Unit</w:t>
      </w:r>
    </w:p>
    <w:p w14:paraId="55E75720" w14:textId="02800288" w:rsidR="007309F3" w:rsidRPr="007309F3" w:rsidRDefault="007309F3" w:rsidP="007309F3">
      <w:r w:rsidRPr="007309F3">
        <w:t xml:space="preserve">Dr. Philip </w:t>
      </w:r>
      <w:r>
        <w:t>Loring. University of Alaska-Fairbanks</w:t>
      </w:r>
      <w:r w:rsidRPr="007309F3">
        <w:t>. Water and Environmental Research Center</w:t>
      </w:r>
    </w:p>
    <w:p w14:paraId="76320155" w14:textId="04501552" w:rsidR="007309F3" w:rsidRPr="007309F3" w:rsidRDefault="00025DE8" w:rsidP="007309F3">
      <w:r>
        <w:t>Dr. Angela Matz-</w:t>
      </w:r>
      <w:r w:rsidR="007309F3" w:rsidRPr="007309F3">
        <w:t xml:space="preserve"> U.S </w:t>
      </w:r>
      <w:r w:rsidR="007309F3">
        <w:t xml:space="preserve">Dept. of Fish and Wildlife. Fairbanks </w:t>
      </w:r>
      <w:r w:rsidR="007309F3" w:rsidRPr="007309F3">
        <w:t>Field Station</w:t>
      </w:r>
    </w:p>
    <w:p w14:paraId="3798D33F" w14:textId="53F28134" w:rsidR="007309F3" w:rsidRPr="007309F3" w:rsidRDefault="00025DE8" w:rsidP="007309F3">
      <w:r>
        <w:t>Dr Elizabeth Nobmann-</w:t>
      </w:r>
      <w:r w:rsidR="007309F3" w:rsidRPr="007309F3">
        <w:t xml:space="preserve"> EDN Nutrition Consulting.</w:t>
      </w:r>
    </w:p>
    <w:p w14:paraId="433385FE" w14:textId="3BC2AF7E" w:rsidR="0062644E" w:rsidRPr="000808F5" w:rsidRDefault="007309F3" w:rsidP="000808F5">
      <w:pPr>
        <w:spacing w:before="0" w:line="276" w:lineRule="auto"/>
      </w:pPr>
      <w:r>
        <w:t xml:space="preserve">A record of the peer review process is available upon request to the Department. </w:t>
      </w:r>
      <w:r w:rsidR="000808F5">
        <w:br w:type="page"/>
      </w:r>
    </w:p>
    <w:p w14:paraId="64987F40" w14:textId="18072EE5" w:rsidR="000D1CAE" w:rsidRPr="000C599E" w:rsidRDefault="000D1CAE" w:rsidP="00821F98">
      <w:pPr>
        <w:pStyle w:val="SectionHeader"/>
        <w:jc w:val="both"/>
      </w:pPr>
      <w:bookmarkStart w:id="4" w:name="_Toc391035966"/>
      <w:r w:rsidRPr="000C599E">
        <w:lastRenderedPageBreak/>
        <w:t>Introduction</w:t>
      </w:r>
      <w:bookmarkEnd w:id="1"/>
      <w:bookmarkEnd w:id="2"/>
      <w:bookmarkEnd w:id="3"/>
      <w:bookmarkEnd w:id="4"/>
    </w:p>
    <w:p w14:paraId="728BFA39" w14:textId="19539943" w:rsidR="00564F7E" w:rsidRPr="00F314C1" w:rsidRDefault="00A87553" w:rsidP="00F314C1">
      <w:pPr>
        <w:jc w:val="both"/>
        <w:rPr>
          <w:rFonts w:asciiTheme="minorHAnsi" w:hAnsiTheme="minorHAnsi"/>
          <w:szCs w:val="24"/>
        </w:rPr>
      </w:pPr>
      <w:r w:rsidRPr="002028F8">
        <w:rPr>
          <w:rFonts w:asciiTheme="minorHAnsi" w:hAnsiTheme="minorHAnsi" w:cs="Times New Roman"/>
          <w:color w:val="000000"/>
          <w:sz w:val="24"/>
          <w:szCs w:val="24"/>
        </w:rPr>
        <w:t>Aquatic life (fresh and marine</w:t>
      </w:r>
      <w:r w:rsidR="00B44582" w:rsidRPr="002028F8">
        <w:rPr>
          <w:rFonts w:asciiTheme="minorHAnsi" w:hAnsiTheme="minorHAnsi" w:cs="Times New Roman"/>
          <w:color w:val="000000"/>
          <w:sz w:val="24"/>
          <w:szCs w:val="24"/>
        </w:rPr>
        <w:t xml:space="preserve"> fish</w:t>
      </w:r>
      <w:r w:rsidRPr="002028F8">
        <w:rPr>
          <w:rFonts w:asciiTheme="minorHAnsi" w:hAnsiTheme="minorHAnsi" w:cs="Times New Roman"/>
          <w:color w:val="000000"/>
          <w:sz w:val="24"/>
          <w:szCs w:val="24"/>
        </w:rPr>
        <w:t>)</w:t>
      </w:r>
      <w:r w:rsidR="00B44582" w:rsidRPr="00F314C1">
        <w:footnoteReference w:id="1"/>
      </w:r>
      <w:r w:rsidRPr="002028F8">
        <w:rPr>
          <w:rFonts w:asciiTheme="minorHAnsi" w:hAnsiTheme="minorHAnsi" w:cs="Times New Roman"/>
          <w:color w:val="000000"/>
          <w:sz w:val="24"/>
          <w:szCs w:val="24"/>
        </w:rPr>
        <w:t xml:space="preserve"> </w:t>
      </w:r>
      <w:r w:rsidR="003E1B51" w:rsidRPr="002028F8">
        <w:rPr>
          <w:rFonts w:asciiTheme="minorHAnsi" w:hAnsiTheme="minorHAnsi" w:cs="Times New Roman"/>
          <w:color w:val="000000"/>
          <w:sz w:val="24"/>
          <w:szCs w:val="24"/>
        </w:rPr>
        <w:t>are a fundamental part</w:t>
      </w:r>
      <w:r w:rsidRPr="002028F8">
        <w:rPr>
          <w:rFonts w:asciiTheme="minorHAnsi" w:hAnsiTheme="minorHAnsi" w:cs="Times New Roman"/>
          <w:color w:val="000000"/>
          <w:sz w:val="24"/>
          <w:szCs w:val="24"/>
        </w:rPr>
        <w:t xml:space="preserve"> of the Alaskan lifestyle and economy. Alaska is the largest supplier of domestically-produced seafood in the United States, directly employs over 27,000 Alaska residents in the seafood industry (McDowell, 2013), and draws visitors from around the world to participate in its </w:t>
      </w:r>
      <w:proofErr w:type="spellStart"/>
      <w:r w:rsidRPr="002028F8">
        <w:rPr>
          <w:rFonts w:asciiTheme="minorHAnsi" w:hAnsiTheme="minorHAnsi" w:cs="Times New Roman"/>
          <w:color w:val="000000"/>
          <w:sz w:val="24"/>
          <w:szCs w:val="24"/>
        </w:rPr>
        <w:t>sportfishing</w:t>
      </w:r>
      <w:proofErr w:type="spellEnd"/>
      <w:r w:rsidRPr="002028F8">
        <w:rPr>
          <w:rFonts w:asciiTheme="minorHAnsi" w:hAnsiTheme="minorHAnsi" w:cs="Times New Roman"/>
          <w:color w:val="000000"/>
          <w:sz w:val="24"/>
          <w:szCs w:val="24"/>
        </w:rPr>
        <w:t xml:space="preserve"> opportunities.</w:t>
      </w:r>
      <w:r w:rsidR="008160AF" w:rsidRPr="002028F8">
        <w:rPr>
          <w:rFonts w:asciiTheme="minorHAnsi" w:hAnsiTheme="minorHAnsi" w:cs="Times New Roman"/>
          <w:color w:val="000000"/>
          <w:sz w:val="24"/>
          <w:szCs w:val="24"/>
        </w:rPr>
        <w:t xml:space="preserve"> Data collected in 2007 determined that over 475,000 resident and non-resident </w:t>
      </w:r>
      <w:proofErr w:type="spellStart"/>
      <w:r w:rsidR="008160AF" w:rsidRPr="002028F8">
        <w:rPr>
          <w:rFonts w:asciiTheme="minorHAnsi" w:hAnsiTheme="minorHAnsi" w:cs="Times New Roman"/>
          <w:color w:val="000000"/>
          <w:sz w:val="24"/>
          <w:szCs w:val="24"/>
        </w:rPr>
        <w:t>licenced</w:t>
      </w:r>
      <w:proofErr w:type="spellEnd"/>
      <w:r w:rsidR="008160AF" w:rsidRPr="002028F8">
        <w:rPr>
          <w:rFonts w:asciiTheme="minorHAnsi" w:hAnsiTheme="minorHAnsi" w:cs="Times New Roman"/>
          <w:color w:val="000000"/>
          <w:sz w:val="24"/>
          <w:szCs w:val="24"/>
        </w:rPr>
        <w:t xml:space="preserve"> anglers fished 2.5 million days in Alaska and spent nearly 1.4 billion </w:t>
      </w:r>
      <w:r w:rsidR="00D044F0" w:rsidRPr="002028F8">
        <w:rPr>
          <w:rFonts w:asciiTheme="minorHAnsi" w:hAnsiTheme="minorHAnsi" w:cs="Times New Roman"/>
          <w:color w:val="000000"/>
          <w:sz w:val="24"/>
          <w:szCs w:val="24"/>
        </w:rPr>
        <w:t xml:space="preserve">dollars </w:t>
      </w:r>
      <w:r w:rsidR="008160AF" w:rsidRPr="002028F8">
        <w:rPr>
          <w:rFonts w:asciiTheme="minorHAnsi" w:hAnsiTheme="minorHAnsi" w:cs="Times New Roman"/>
          <w:color w:val="000000"/>
          <w:sz w:val="24"/>
          <w:szCs w:val="24"/>
        </w:rPr>
        <w:t>on fishing related goods and services (Southwick Associates Inc.</w:t>
      </w:r>
      <w:r w:rsidR="00025DE8">
        <w:rPr>
          <w:rFonts w:asciiTheme="minorHAnsi" w:hAnsiTheme="minorHAnsi" w:cs="Times New Roman"/>
          <w:color w:val="000000"/>
          <w:sz w:val="24"/>
          <w:szCs w:val="24"/>
        </w:rPr>
        <w:t>,</w:t>
      </w:r>
      <w:r w:rsidR="008160AF" w:rsidRPr="002028F8">
        <w:rPr>
          <w:rFonts w:asciiTheme="minorHAnsi" w:hAnsiTheme="minorHAnsi" w:cs="Times New Roman"/>
          <w:color w:val="000000"/>
          <w:sz w:val="24"/>
          <w:szCs w:val="24"/>
        </w:rPr>
        <w:t xml:space="preserve"> 200</w:t>
      </w:r>
      <w:r w:rsidR="00D044F0" w:rsidRPr="00F314C1">
        <w:rPr>
          <w:rFonts w:asciiTheme="minorHAnsi" w:hAnsiTheme="minorHAnsi" w:cs="Times New Roman"/>
          <w:color w:val="000000"/>
          <w:sz w:val="24"/>
          <w:szCs w:val="24"/>
        </w:rPr>
        <w:t>8</w:t>
      </w:r>
      <w:r w:rsidR="008160AF" w:rsidRPr="00F314C1">
        <w:rPr>
          <w:rFonts w:asciiTheme="minorHAnsi" w:hAnsiTheme="minorHAnsi" w:cs="Times New Roman"/>
          <w:color w:val="000000"/>
          <w:sz w:val="24"/>
          <w:szCs w:val="24"/>
        </w:rPr>
        <w:t>)</w:t>
      </w:r>
      <w:r w:rsidRPr="00F314C1">
        <w:rPr>
          <w:rFonts w:asciiTheme="minorHAnsi" w:hAnsiTheme="minorHAnsi" w:cs="Times New Roman"/>
          <w:color w:val="000000"/>
          <w:sz w:val="24"/>
          <w:szCs w:val="24"/>
        </w:rPr>
        <w:t xml:space="preserve"> </w:t>
      </w:r>
    </w:p>
    <w:p w14:paraId="53D8006D" w14:textId="483045DB" w:rsidR="00B44582" w:rsidRPr="00F314C1" w:rsidRDefault="00A87553" w:rsidP="00F314C1">
      <w:pPr>
        <w:jc w:val="both"/>
        <w:rPr>
          <w:rFonts w:asciiTheme="minorHAnsi" w:hAnsiTheme="minorHAnsi"/>
        </w:rPr>
      </w:pPr>
      <w:r w:rsidRPr="002028F8">
        <w:rPr>
          <w:rFonts w:asciiTheme="minorHAnsi" w:hAnsiTheme="minorHAnsi" w:cs="Times New Roman"/>
          <w:color w:val="000000"/>
          <w:sz w:val="24"/>
          <w:szCs w:val="24"/>
        </w:rPr>
        <w:t>For m</w:t>
      </w:r>
      <w:r w:rsidR="00814357" w:rsidRPr="002028F8">
        <w:rPr>
          <w:rFonts w:asciiTheme="minorHAnsi" w:hAnsiTheme="minorHAnsi" w:cs="Times New Roman"/>
          <w:color w:val="000000"/>
          <w:sz w:val="24"/>
          <w:szCs w:val="24"/>
        </w:rPr>
        <w:t>any Alaskans</w:t>
      </w:r>
      <w:r w:rsidRPr="002028F8">
        <w:rPr>
          <w:rFonts w:asciiTheme="minorHAnsi" w:hAnsiTheme="minorHAnsi" w:cs="Times New Roman"/>
          <w:color w:val="000000"/>
          <w:sz w:val="24"/>
          <w:szCs w:val="24"/>
        </w:rPr>
        <w:t>,</w:t>
      </w:r>
      <w:r w:rsidR="00814357" w:rsidRPr="002028F8">
        <w:rPr>
          <w:rFonts w:asciiTheme="minorHAnsi" w:hAnsiTheme="minorHAnsi" w:cs="Times New Roman"/>
          <w:color w:val="000000"/>
          <w:sz w:val="24"/>
          <w:szCs w:val="24"/>
        </w:rPr>
        <w:t xml:space="preserve"> fish a</w:t>
      </w:r>
      <w:r w:rsidR="00D044F0" w:rsidRPr="002028F8">
        <w:rPr>
          <w:rFonts w:asciiTheme="minorHAnsi" w:hAnsiTheme="minorHAnsi" w:cs="Times New Roman"/>
          <w:color w:val="000000"/>
          <w:sz w:val="24"/>
          <w:szCs w:val="24"/>
        </w:rPr>
        <w:t>re</w:t>
      </w:r>
      <w:r w:rsidR="00814357" w:rsidRPr="002028F8">
        <w:rPr>
          <w:rFonts w:asciiTheme="minorHAnsi" w:hAnsiTheme="minorHAnsi" w:cs="Times New Roman"/>
          <w:color w:val="000000"/>
          <w:sz w:val="24"/>
          <w:szCs w:val="24"/>
        </w:rPr>
        <w:t xml:space="preserve"> part of their regular diet, with some </w:t>
      </w:r>
      <w:r w:rsidR="008726F1" w:rsidRPr="002028F8">
        <w:rPr>
          <w:rFonts w:asciiTheme="minorHAnsi" w:hAnsiTheme="minorHAnsi" w:cs="Times New Roman"/>
          <w:color w:val="000000"/>
          <w:sz w:val="24"/>
          <w:szCs w:val="24"/>
        </w:rPr>
        <w:t xml:space="preserve">studies </w:t>
      </w:r>
      <w:r w:rsidR="00814357" w:rsidRPr="002028F8">
        <w:rPr>
          <w:rFonts w:asciiTheme="minorHAnsi" w:hAnsiTheme="minorHAnsi" w:cs="Times New Roman"/>
          <w:color w:val="000000"/>
          <w:sz w:val="24"/>
          <w:szCs w:val="24"/>
        </w:rPr>
        <w:t xml:space="preserve">showing that Alaskans consume </w:t>
      </w:r>
      <w:r w:rsidR="003757DA" w:rsidRPr="002028F8">
        <w:rPr>
          <w:rFonts w:asciiTheme="minorHAnsi" w:hAnsiTheme="minorHAnsi" w:cs="Times New Roman"/>
          <w:color w:val="000000"/>
          <w:sz w:val="24"/>
          <w:szCs w:val="24"/>
        </w:rPr>
        <w:t xml:space="preserve">six times more </w:t>
      </w:r>
      <w:r w:rsidR="00814357" w:rsidRPr="002028F8">
        <w:rPr>
          <w:rFonts w:asciiTheme="minorHAnsi" w:hAnsiTheme="minorHAnsi" w:cs="Times New Roman"/>
          <w:color w:val="000000"/>
          <w:sz w:val="24"/>
          <w:szCs w:val="24"/>
        </w:rPr>
        <w:t xml:space="preserve">fish </w:t>
      </w:r>
      <w:r w:rsidR="003757DA" w:rsidRPr="002028F8">
        <w:rPr>
          <w:rFonts w:asciiTheme="minorHAnsi" w:hAnsiTheme="minorHAnsi" w:cs="Times New Roman"/>
          <w:color w:val="000000"/>
          <w:sz w:val="24"/>
          <w:szCs w:val="24"/>
        </w:rPr>
        <w:t xml:space="preserve">than the </w:t>
      </w:r>
      <w:r w:rsidR="00814357" w:rsidRPr="002028F8">
        <w:rPr>
          <w:rFonts w:asciiTheme="minorHAnsi" w:hAnsiTheme="minorHAnsi" w:cs="Times New Roman"/>
          <w:color w:val="000000"/>
          <w:sz w:val="24"/>
          <w:szCs w:val="24"/>
        </w:rPr>
        <w:t xml:space="preserve">average U.S. citizen (Nobmann, 1992). </w:t>
      </w:r>
      <w:r w:rsidR="00D044F0" w:rsidRPr="002028F8">
        <w:rPr>
          <w:rFonts w:asciiTheme="minorHAnsi" w:hAnsiTheme="minorHAnsi" w:cs="Times New Roman"/>
          <w:color w:val="000000"/>
          <w:sz w:val="24"/>
          <w:szCs w:val="24"/>
        </w:rPr>
        <w:t xml:space="preserve">Alaska health officials recommend that everyone eat fish at </w:t>
      </w:r>
      <w:proofErr w:type="spellStart"/>
      <w:r w:rsidR="00D044F0" w:rsidRPr="002028F8">
        <w:rPr>
          <w:rFonts w:asciiTheme="minorHAnsi" w:hAnsiTheme="minorHAnsi" w:cs="Times New Roman"/>
          <w:color w:val="000000"/>
          <w:sz w:val="24"/>
          <w:szCs w:val="24"/>
        </w:rPr>
        <w:t>tleast</w:t>
      </w:r>
      <w:proofErr w:type="spellEnd"/>
      <w:r w:rsidR="00D044F0" w:rsidRPr="002028F8">
        <w:rPr>
          <w:rFonts w:asciiTheme="minorHAnsi" w:hAnsiTheme="minorHAnsi" w:cs="Times New Roman"/>
          <w:color w:val="000000"/>
          <w:sz w:val="24"/>
          <w:szCs w:val="24"/>
        </w:rPr>
        <w:t xml:space="preserve"> twice a week to obtain important health benefits (DHSS</w:t>
      </w:r>
      <w:r w:rsidR="00087B6D">
        <w:rPr>
          <w:rFonts w:asciiTheme="minorHAnsi" w:hAnsiTheme="minorHAnsi" w:cs="Times New Roman"/>
          <w:color w:val="000000"/>
          <w:sz w:val="24"/>
          <w:szCs w:val="24"/>
        </w:rPr>
        <w:t>,</w:t>
      </w:r>
      <w:r w:rsidR="00D044F0" w:rsidRPr="002028F8">
        <w:rPr>
          <w:rFonts w:asciiTheme="minorHAnsi" w:hAnsiTheme="minorHAnsi" w:cs="Times New Roman"/>
          <w:color w:val="000000"/>
          <w:sz w:val="24"/>
          <w:szCs w:val="24"/>
        </w:rPr>
        <w:t xml:space="preserve"> 2014). While f</w:t>
      </w:r>
      <w:r w:rsidR="003757DA" w:rsidRPr="002028F8">
        <w:rPr>
          <w:rFonts w:asciiTheme="minorHAnsi" w:hAnsiTheme="minorHAnsi" w:cs="Times New Roman"/>
          <w:color w:val="000000"/>
          <w:sz w:val="24"/>
          <w:szCs w:val="24"/>
        </w:rPr>
        <w:t xml:space="preserve">ish </w:t>
      </w:r>
      <w:r w:rsidR="00D044F0" w:rsidRPr="002028F8">
        <w:rPr>
          <w:rFonts w:asciiTheme="minorHAnsi" w:hAnsiTheme="minorHAnsi" w:cs="Times New Roman"/>
          <w:color w:val="000000"/>
          <w:sz w:val="24"/>
          <w:szCs w:val="24"/>
        </w:rPr>
        <w:t xml:space="preserve">are considered to </w:t>
      </w:r>
      <w:r w:rsidR="003757DA" w:rsidRPr="002028F8">
        <w:rPr>
          <w:rFonts w:asciiTheme="minorHAnsi" w:hAnsiTheme="minorHAnsi" w:cs="Times New Roman"/>
          <w:color w:val="000000"/>
          <w:sz w:val="24"/>
          <w:szCs w:val="24"/>
        </w:rPr>
        <w:t xml:space="preserve">be </w:t>
      </w:r>
      <w:r w:rsidR="00814357" w:rsidRPr="002028F8">
        <w:rPr>
          <w:rFonts w:asciiTheme="minorHAnsi" w:hAnsiTheme="minorHAnsi" w:cs="Times New Roman"/>
          <w:color w:val="000000"/>
          <w:sz w:val="24"/>
          <w:szCs w:val="24"/>
        </w:rPr>
        <w:t>part o</w:t>
      </w:r>
      <w:r w:rsidR="00A507B1" w:rsidRPr="002028F8">
        <w:rPr>
          <w:rFonts w:asciiTheme="minorHAnsi" w:hAnsiTheme="minorHAnsi" w:cs="Times New Roman"/>
          <w:color w:val="000000"/>
          <w:sz w:val="24"/>
          <w:szCs w:val="24"/>
        </w:rPr>
        <w:t>f a healthy diet</w:t>
      </w:r>
      <w:r w:rsidR="009053B7" w:rsidRPr="002028F8">
        <w:rPr>
          <w:rFonts w:asciiTheme="minorHAnsi" w:hAnsiTheme="minorHAnsi" w:cs="Times New Roman"/>
          <w:color w:val="000000"/>
          <w:sz w:val="24"/>
          <w:szCs w:val="24"/>
        </w:rPr>
        <w:t>,</w:t>
      </w:r>
      <w:r w:rsidR="003757DA" w:rsidRPr="002028F8">
        <w:rPr>
          <w:rFonts w:asciiTheme="minorHAnsi" w:hAnsiTheme="minorHAnsi" w:cs="Times New Roman"/>
          <w:color w:val="000000"/>
          <w:sz w:val="24"/>
          <w:szCs w:val="24"/>
        </w:rPr>
        <w:t xml:space="preserve"> </w:t>
      </w:r>
      <w:r w:rsidR="00275340" w:rsidRPr="002028F8">
        <w:rPr>
          <w:rFonts w:asciiTheme="minorHAnsi" w:hAnsiTheme="minorHAnsi" w:cs="Times New Roman"/>
          <w:color w:val="000000"/>
          <w:sz w:val="24"/>
          <w:szCs w:val="24"/>
        </w:rPr>
        <w:t>s</w:t>
      </w:r>
      <w:r w:rsidR="003757DA" w:rsidRPr="002028F8">
        <w:rPr>
          <w:rFonts w:asciiTheme="minorHAnsi" w:hAnsiTheme="minorHAnsi" w:cs="Times New Roman"/>
          <w:color w:val="000000"/>
          <w:sz w:val="24"/>
          <w:szCs w:val="24"/>
        </w:rPr>
        <w:t xml:space="preserve">ome fish species can </w:t>
      </w:r>
      <w:proofErr w:type="spellStart"/>
      <w:r w:rsidR="00275340" w:rsidRPr="002028F8">
        <w:rPr>
          <w:rFonts w:asciiTheme="minorHAnsi" w:hAnsiTheme="minorHAnsi" w:cs="Times New Roman"/>
          <w:color w:val="000000"/>
          <w:sz w:val="24"/>
          <w:szCs w:val="24"/>
        </w:rPr>
        <w:t>bioaccumulate</w:t>
      </w:r>
      <w:proofErr w:type="spellEnd"/>
      <w:r w:rsidR="00275340" w:rsidRPr="002028F8">
        <w:rPr>
          <w:rFonts w:asciiTheme="minorHAnsi" w:hAnsiTheme="minorHAnsi" w:cs="Times New Roman"/>
          <w:color w:val="000000"/>
          <w:sz w:val="24"/>
          <w:szCs w:val="24"/>
        </w:rPr>
        <w:t xml:space="preserve"> </w:t>
      </w:r>
      <w:r w:rsidR="008D13AD" w:rsidRPr="002028F8">
        <w:rPr>
          <w:rFonts w:asciiTheme="minorHAnsi" w:hAnsiTheme="minorHAnsi" w:cs="Times New Roman"/>
          <w:color w:val="000000"/>
          <w:sz w:val="24"/>
          <w:szCs w:val="24"/>
        </w:rPr>
        <w:t xml:space="preserve">potentially </w:t>
      </w:r>
      <w:r w:rsidR="00D455A3" w:rsidRPr="002028F8">
        <w:rPr>
          <w:rFonts w:asciiTheme="minorHAnsi" w:hAnsiTheme="minorHAnsi" w:cs="Times New Roman"/>
          <w:color w:val="000000"/>
          <w:sz w:val="24"/>
          <w:szCs w:val="24"/>
        </w:rPr>
        <w:t>harmful</w:t>
      </w:r>
      <w:r w:rsidR="00814357" w:rsidRPr="002028F8">
        <w:rPr>
          <w:rFonts w:asciiTheme="minorHAnsi" w:hAnsiTheme="minorHAnsi" w:cs="Times New Roman"/>
          <w:color w:val="000000"/>
          <w:sz w:val="24"/>
          <w:szCs w:val="24"/>
        </w:rPr>
        <w:t xml:space="preserve"> contaminants</w:t>
      </w:r>
      <w:r w:rsidR="003757DA" w:rsidRPr="002028F8">
        <w:rPr>
          <w:rFonts w:asciiTheme="minorHAnsi" w:hAnsiTheme="minorHAnsi" w:cs="Times New Roman"/>
          <w:color w:val="000000"/>
          <w:sz w:val="24"/>
          <w:szCs w:val="24"/>
        </w:rPr>
        <w:t xml:space="preserve">, such as mercury, in fish tissue. To protect human health from the risks associated with ingesting fish and shellfish that have been exposed to toxic contaminants, </w:t>
      </w:r>
      <w:r w:rsidR="008726F1" w:rsidRPr="00F314C1">
        <w:rPr>
          <w:rFonts w:asciiTheme="minorHAnsi" w:hAnsiTheme="minorHAnsi" w:cs="Times New Roman"/>
          <w:color w:val="000000"/>
          <w:sz w:val="24"/>
          <w:szCs w:val="24"/>
        </w:rPr>
        <w:t xml:space="preserve">the U.S. </w:t>
      </w:r>
      <w:r w:rsidR="003757DA" w:rsidRPr="00F314C1">
        <w:rPr>
          <w:rFonts w:asciiTheme="minorHAnsi" w:hAnsiTheme="minorHAnsi" w:cs="Times New Roman"/>
          <w:color w:val="000000"/>
          <w:sz w:val="24"/>
          <w:szCs w:val="24"/>
        </w:rPr>
        <w:t>E</w:t>
      </w:r>
      <w:r w:rsidR="008726F1" w:rsidRPr="00F314C1">
        <w:rPr>
          <w:rFonts w:asciiTheme="minorHAnsi" w:hAnsiTheme="minorHAnsi" w:cs="Times New Roman"/>
          <w:color w:val="000000"/>
          <w:sz w:val="24"/>
          <w:szCs w:val="24"/>
        </w:rPr>
        <w:t xml:space="preserve">nvironmental </w:t>
      </w:r>
      <w:r w:rsidR="003757DA" w:rsidRPr="00F314C1">
        <w:rPr>
          <w:rFonts w:asciiTheme="minorHAnsi" w:hAnsiTheme="minorHAnsi" w:cs="Times New Roman"/>
          <w:color w:val="000000"/>
          <w:sz w:val="24"/>
          <w:szCs w:val="24"/>
        </w:rPr>
        <w:t>P</w:t>
      </w:r>
      <w:r w:rsidR="008726F1" w:rsidRPr="00F314C1">
        <w:rPr>
          <w:rFonts w:asciiTheme="minorHAnsi" w:hAnsiTheme="minorHAnsi" w:cs="Times New Roman"/>
          <w:color w:val="000000"/>
          <w:sz w:val="24"/>
          <w:szCs w:val="24"/>
        </w:rPr>
        <w:t xml:space="preserve">rotection </w:t>
      </w:r>
      <w:r w:rsidR="003757DA" w:rsidRPr="00F314C1">
        <w:rPr>
          <w:rFonts w:asciiTheme="minorHAnsi" w:hAnsiTheme="minorHAnsi" w:cs="Times New Roman"/>
          <w:color w:val="000000"/>
          <w:sz w:val="24"/>
          <w:szCs w:val="24"/>
        </w:rPr>
        <w:t>A</w:t>
      </w:r>
      <w:r w:rsidR="008726F1" w:rsidRPr="00F314C1">
        <w:rPr>
          <w:rFonts w:asciiTheme="minorHAnsi" w:hAnsiTheme="minorHAnsi" w:cs="Times New Roman"/>
          <w:color w:val="000000"/>
          <w:sz w:val="24"/>
          <w:szCs w:val="24"/>
        </w:rPr>
        <w:t>gency (EPA)</w:t>
      </w:r>
      <w:r w:rsidR="003757DA" w:rsidRPr="00F314C1">
        <w:rPr>
          <w:rFonts w:asciiTheme="minorHAnsi" w:hAnsiTheme="minorHAnsi" w:cs="Times New Roman"/>
          <w:color w:val="000000"/>
          <w:sz w:val="24"/>
          <w:szCs w:val="24"/>
        </w:rPr>
        <w:t xml:space="preserve"> and states derive water quality </w:t>
      </w:r>
      <w:r w:rsidR="008726F1" w:rsidRPr="00F314C1">
        <w:rPr>
          <w:rFonts w:asciiTheme="minorHAnsi" w:hAnsiTheme="minorHAnsi" w:cs="Times New Roman"/>
          <w:color w:val="000000"/>
          <w:sz w:val="24"/>
          <w:szCs w:val="24"/>
        </w:rPr>
        <w:t>criteria</w:t>
      </w:r>
      <w:r w:rsidR="002B3BEE" w:rsidRPr="00F314C1">
        <w:rPr>
          <w:rFonts w:asciiTheme="minorHAnsi" w:hAnsiTheme="minorHAnsi" w:cs="Times New Roman"/>
          <w:color w:val="000000"/>
          <w:sz w:val="24"/>
          <w:szCs w:val="24"/>
        </w:rPr>
        <w:t xml:space="preserve"> </w:t>
      </w:r>
      <w:r w:rsidR="00275340" w:rsidRPr="00F314C1">
        <w:rPr>
          <w:rFonts w:asciiTheme="minorHAnsi" w:hAnsiTheme="minorHAnsi" w:cs="Times New Roman"/>
          <w:color w:val="000000"/>
          <w:sz w:val="24"/>
          <w:szCs w:val="24"/>
        </w:rPr>
        <w:t>for use in state water quality standards</w:t>
      </w:r>
      <w:r w:rsidR="002B3BEE" w:rsidRPr="00F314C1">
        <w:rPr>
          <w:rFonts w:asciiTheme="minorHAnsi" w:hAnsiTheme="minorHAnsi" w:cs="Times New Roman"/>
          <w:color w:val="000000"/>
          <w:sz w:val="24"/>
          <w:szCs w:val="24"/>
        </w:rPr>
        <w:t>.</w:t>
      </w:r>
      <w:r w:rsidR="003757DA" w:rsidRPr="00F314C1">
        <w:rPr>
          <w:rFonts w:asciiTheme="minorHAnsi" w:hAnsiTheme="minorHAnsi" w:cs="Times New Roman"/>
          <w:color w:val="000000"/>
          <w:sz w:val="24"/>
          <w:szCs w:val="24"/>
        </w:rPr>
        <w:t xml:space="preserve"> </w:t>
      </w:r>
      <w:r w:rsidR="00A507B1" w:rsidRPr="00F314C1">
        <w:rPr>
          <w:rFonts w:asciiTheme="minorHAnsi" w:hAnsiTheme="minorHAnsi" w:cs="Times New Roman"/>
          <w:color w:val="000000"/>
          <w:sz w:val="24"/>
          <w:szCs w:val="24"/>
        </w:rPr>
        <w:t>A critical</w:t>
      </w:r>
      <w:r w:rsidR="00D455A3" w:rsidRPr="00F314C1">
        <w:rPr>
          <w:rFonts w:asciiTheme="minorHAnsi" w:hAnsiTheme="minorHAnsi" w:cs="Times New Roman"/>
          <w:color w:val="000000"/>
          <w:sz w:val="24"/>
          <w:szCs w:val="24"/>
        </w:rPr>
        <w:t xml:space="preserve"> component of developing </w:t>
      </w:r>
      <w:r w:rsidR="00D31726" w:rsidRPr="002028F8">
        <w:rPr>
          <w:rFonts w:asciiTheme="minorHAnsi" w:hAnsiTheme="minorHAnsi" w:cs="Times New Roman"/>
          <w:color w:val="000000"/>
          <w:sz w:val="24"/>
          <w:szCs w:val="24"/>
        </w:rPr>
        <w:t>these human health criteria (HHC)</w:t>
      </w:r>
      <w:r w:rsidR="00D455A3" w:rsidRPr="002028F8">
        <w:rPr>
          <w:rFonts w:asciiTheme="minorHAnsi" w:hAnsiTheme="minorHAnsi" w:cs="Times New Roman"/>
          <w:color w:val="000000"/>
          <w:sz w:val="24"/>
          <w:szCs w:val="24"/>
        </w:rPr>
        <w:t xml:space="preserve"> is accurately estimating how individuals </w:t>
      </w:r>
      <w:r w:rsidR="008D13AD" w:rsidRPr="002028F8">
        <w:rPr>
          <w:rFonts w:asciiTheme="minorHAnsi" w:hAnsiTheme="minorHAnsi" w:cs="Times New Roman"/>
          <w:color w:val="000000"/>
          <w:sz w:val="24"/>
          <w:szCs w:val="24"/>
        </w:rPr>
        <w:t xml:space="preserve">may </w:t>
      </w:r>
      <w:r w:rsidR="00D455A3" w:rsidRPr="002028F8">
        <w:rPr>
          <w:rFonts w:asciiTheme="minorHAnsi" w:hAnsiTheme="minorHAnsi" w:cs="Times New Roman"/>
          <w:color w:val="000000"/>
          <w:sz w:val="24"/>
          <w:szCs w:val="24"/>
        </w:rPr>
        <w:t>be exposed to contaminants through consumption of fish.</w:t>
      </w:r>
      <w:r w:rsidR="003757DA" w:rsidRPr="002028F8">
        <w:rPr>
          <w:rFonts w:asciiTheme="minorHAnsi" w:hAnsiTheme="minorHAnsi" w:cs="Times New Roman"/>
          <w:color w:val="000000"/>
          <w:sz w:val="24"/>
          <w:szCs w:val="24"/>
        </w:rPr>
        <w:t xml:space="preserve"> </w:t>
      </w:r>
    </w:p>
    <w:p w14:paraId="64987F41" w14:textId="4EE43BEC" w:rsidR="00814357" w:rsidRDefault="00B44582" w:rsidP="00B44582">
      <w:pPr>
        <w:jc w:val="both"/>
        <w:rPr>
          <w:rFonts w:asciiTheme="minorHAnsi" w:hAnsiTheme="minorHAnsi" w:cs="Times New Roman"/>
          <w:color w:val="000000"/>
          <w:sz w:val="24"/>
          <w:szCs w:val="24"/>
        </w:rPr>
      </w:pPr>
      <w:r w:rsidRPr="00F314C1">
        <w:rPr>
          <w:rFonts w:asciiTheme="minorHAnsi" w:hAnsiTheme="minorHAnsi" w:cs="Times New Roman"/>
          <w:color w:val="000000"/>
          <w:sz w:val="24"/>
          <w:szCs w:val="24"/>
        </w:rPr>
        <w:t>The Clean Water Act (CWA) regulations direct States to adopt criteria based upon the 304(a) National Recommended Water Quality Criteria, or in the State’s discretion, 304(a) criteria modified to reflect site-specific conditions or other scientifically defensible methods (40 CFR 131.11 (b)). EPA states in its 2000 Methodology for Deriving Ambient Criteria for the Protection of Human Health at page 2-14 that if a site-specific fish consumption rate is used instead of EPA’s national default rate, the State must assemble appropriate survey data to defend the local fish consumption rate (EPA</w:t>
      </w:r>
      <w:r w:rsidR="00025DE8">
        <w:rPr>
          <w:rFonts w:asciiTheme="minorHAnsi" w:hAnsiTheme="minorHAnsi" w:cs="Times New Roman"/>
          <w:color w:val="000000"/>
          <w:sz w:val="24"/>
          <w:szCs w:val="24"/>
        </w:rPr>
        <w:t>,</w:t>
      </w:r>
      <w:r w:rsidRPr="00F314C1">
        <w:rPr>
          <w:rFonts w:asciiTheme="minorHAnsi" w:hAnsiTheme="minorHAnsi" w:cs="Times New Roman"/>
          <w:color w:val="000000"/>
          <w:sz w:val="24"/>
          <w:szCs w:val="24"/>
        </w:rPr>
        <w:t xml:space="preserve"> 2000</w:t>
      </w:r>
      <w:r w:rsidR="00465BAA" w:rsidRPr="00F314C1">
        <w:rPr>
          <w:rFonts w:asciiTheme="minorHAnsi" w:hAnsiTheme="minorHAnsi" w:cs="Times New Roman"/>
          <w:color w:val="000000"/>
          <w:sz w:val="24"/>
          <w:szCs w:val="24"/>
        </w:rPr>
        <w:t>a</w:t>
      </w:r>
      <w:r w:rsidRPr="00F314C1">
        <w:rPr>
          <w:rFonts w:asciiTheme="minorHAnsi" w:hAnsiTheme="minorHAnsi" w:cs="Times New Roman"/>
          <w:color w:val="000000"/>
          <w:sz w:val="24"/>
          <w:szCs w:val="24"/>
        </w:rPr>
        <w:t>).</w:t>
      </w:r>
    </w:p>
    <w:p w14:paraId="2F9EA043" w14:textId="77777777" w:rsidR="00C555E8" w:rsidRDefault="00C555E8" w:rsidP="00C555E8">
      <w:pPr>
        <w:spacing w:before="0" w:after="120"/>
        <w:jc w:val="both"/>
        <w:rPr>
          <w:sz w:val="24"/>
          <w:szCs w:val="24"/>
        </w:rPr>
      </w:pPr>
      <w:r>
        <w:rPr>
          <w:sz w:val="24"/>
          <w:szCs w:val="24"/>
        </w:rPr>
        <w:t xml:space="preserve">DEC intends to use this document to engage multiple audiences in discussions on issues associated with development of human health criteria, including the revision of state fish consumption rates. The purpose of the document is technical in nature and not designed to resolve policy issues or establish </w:t>
      </w:r>
      <w:proofErr w:type="gramStart"/>
      <w:r>
        <w:rPr>
          <w:sz w:val="24"/>
          <w:szCs w:val="24"/>
        </w:rPr>
        <w:t>rule  making</w:t>
      </w:r>
      <w:proofErr w:type="gramEnd"/>
      <w:r>
        <w:rPr>
          <w:sz w:val="24"/>
          <w:szCs w:val="24"/>
        </w:rPr>
        <w:t>. Rather, it is designed to provide useful information to interested parties on the amount of dietary data specific to Alaska that may be considered during the regulatory process. The primary question addressed in this document is:</w:t>
      </w:r>
    </w:p>
    <w:p w14:paraId="73770440" w14:textId="77777777" w:rsidR="00C555E8" w:rsidRPr="00864F6E" w:rsidRDefault="00C555E8" w:rsidP="00C555E8">
      <w:pPr>
        <w:pStyle w:val="ListParagraph"/>
        <w:numPr>
          <w:ilvl w:val="0"/>
          <w:numId w:val="15"/>
        </w:numPr>
        <w:spacing w:before="0" w:after="120"/>
        <w:jc w:val="both"/>
        <w:rPr>
          <w:sz w:val="24"/>
          <w:szCs w:val="24"/>
        </w:rPr>
      </w:pPr>
      <w:r>
        <w:rPr>
          <w:sz w:val="24"/>
          <w:szCs w:val="24"/>
        </w:rPr>
        <w:t xml:space="preserve">What is currently known about fish consumption habits and </w:t>
      </w:r>
      <w:proofErr w:type="spellStart"/>
      <w:r>
        <w:rPr>
          <w:sz w:val="24"/>
          <w:szCs w:val="24"/>
        </w:rPr>
        <w:t>ratesfor</w:t>
      </w:r>
      <w:proofErr w:type="spellEnd"/>
      <w:r>
        <w:rPr>
          <w:sz w:val="24"/>
          <w:szCs w:val="24"/>
        </w:rPr>
        <w:t xml:space="preserve"> people in Alaska? </w:t>
      </w:r>
    </w:p>
    <w:p w14:paraId="76B7DF05" w14:textId="77777777" w:rsidR="00C555E8" w:rsidRDefault="00C555E8" w:rsidP="00C555E8">
      <w:pPr>
        <w:pStyle w:val="ListParagraph"/>
        <w:spacing w:before="0" w:after="120"/>
        <w:ind w:left="0"/>
        <w:jc w:val="both"/>
        <w:rPr>
          <w:rFonts w:asciiTheme="minorHAnsi" w:hAnsiTheme="minorHAnsi"/>
          <w:sz w:val="24"/>
          <w:szCs w:val="24"/>
        </w:rPr>
      </w:pPr>
      <w:r w:rsidRPr="002A3195">
        <w:rPr>
          <w:rFonts w:asciiTheme="minorHAnsi" w:hAnsiTheme="minorHAnsi"/>
          <w:sz w:val="24"/>
          <w:szCs w:val="24"/>
        </w:rPr>
        <w:lastRenderedPageBreak/>
        <w:t xml:space="preserve">The report will </w:t>
      </w:r>
      <w:r>
        <w:rPr>
          <w:rFonts w:asciiTheme="minorHAnsi" w:hAnsiTheme="minorHAnsi"/>
          <w:sz w:val="24"/>
          <w:szCs w:val="24"/>
        </w:rPr>
        <w:t>NOT</w:t>
      </w:r>
      <w:r w:rsidRPr="002A3195">
        <w:rPr>
          <w:rFonts w:asciiTheme="minorHAnsi" w:hAnsiTheme="minorHAnsi"/>
          <w:sz w:val="24"/>
          <w:szCs w:val="24"/>
        </w:rPr>
        <w:t xml:space="preserve"> address such issues as</w:t>
      </w:r>
      <w:r>
        <w:rPr>
          <w:rFonts w:asciiTheme="minorHAnsi" w:hAnsiTheme="minorHAnsi"/>
          <w:sz w:val="24"/>
          <w:szCs w:val="24"/>
        </w:rPr>
        <w:t>:</w:t>
      </w:r>
      <w:r w:rsidRPr="002A3195">
        <w:rPr>
          <w:rFonts w:asciiTheme="minorHAnsi" w:hAnsiTheme="minorHAnsi"/>
          <w:sz w:val="24"/>
          <w:szCs w:val="24"/>
        </w:rPr>
        <w:t xml:space="preserve"> </w:t>
      </w:r>
    </w:p>
    <w:p w14:paraId="06F3B815" w14:textId="77777777" w:rsidR="00C555E8" w:rsidRPr="00F314C1" w:rsidRDefault="00C555E8" w:rsidP="00C555E8">
      <w:pPr>
        <w:pStyle w:val="ListParagraph"/>
        <w:numPr>
          <w:ilvl w:val="0"/>
          <w:numId w:val="14"/>
        </w:numPr>
        <w:spacing w:before="0" w:after="120"/>
        <w:jc w:val="both"/>
        <w:rPr>
          <w:sz w:val="24"/>
          <w:szCs w:val="24"/>
        </w:rPr>
      </w:pPr>
      <w:r w:rsidRPr="002A3195">
        <w:rPr>
          <w:rFonts w:asciiTheme="minorHAnsi" w:hAnsiTheme="minorHAnsi"/>
          <w:sz w:val="24"/>
          <w:szCs w:val="24"/>
        </w:rPr>
        <w:t xml:space="preserve">establishing statewide, regional, or local fish consumption rates in Alaska; </w:t>
      </w:r>
    </w:p>
    <w:p w14:paraId="4EE9BB72" w14:textId="77777777" w:rsidR="00C555E8" w:rsidRPr="00F314C1" w:rsidRDefault="00C555E8" w:rsidP="00C555E8">
      <w:pPr>
        <w:pStyle w:val="ListParagraph"/>
        <w:numPr>
          <w:ilvl w:val="0"/>
          <w:numId w:val="14"/>
        </w:numPr>
        <w:spacing w:before="0" w:after="120"/>
        <w:jc w:val="both"/>
        <w:rPr>
          <w:sz w:val="24"/>
          <w:szCs w:val="24"/>
        </w:rPr>
      </w:pPr>
      <w:proofErr w:type="spellStart"/>
      <w:r>
        <w:rPr>
          <w:rFonts w:asciiTheme="minorHAnsi" w:hAnsiTheme="minorHAnsi"/>
          <w:sz w:val="24"/>
          <w:szCs w:val="24"/>
        </w:rPr>
        <w:t>determing</w:t>
      </w:r>
      <w:proofErr w:type="spellEnd"/>
      <w:r>
        <w:rPr>
          <w:rFonts w:asciiTheme="minorHAnsi" w:hAnsiTheme="minorHAnsi"/>
          <w:sz w:val="24"/>
          <w:szCs w:val="24"/>
        </w:rPr>
        <w:t xml:space="preserve"> methods for deriving HHC using local fish consumption rates; </w:t>
      </w:r>
    </w:p>
    <w:p w14:paraId="77C8D8A1" w14:textId="77777777" w:rsidR="00C555E8" w:rsidRPr="00F314C1" w:rsidRDefault="00C555E8" w:rsidP="00C555E8">
      <w:pPr>
        <w:pStyle w:val="ListParagraph"/>
        <w:numPr>
          <w:ilvl w:val="0"/>
          <w:numId w:val="14"/>
        </w:numPr>
        <w:spacing w:before="0" w:after="120"/>
        <w:jc w:val="both"/>
        <w:rPr>
          <w:sz w:val="24"/>
          <w:szCs w:val="24"/>
        </w:rPr>
      </w:pPr>
      <w:r>
        <w:rPr>
          <w:rFonts w:asciiTheme="minorHAnsi" w:hAnsiTheme="minorHAnsi"/>
          <w:sz w:val="24"/>
          <w:szCs w:val="24"/>
        </w:rPr>
        <w:t>implementing</w:t>
      </w:r>
      <w:r w:rsidRPr="002A3195">
        <w:rPr>
          <w:rFonts w:asciiTheme="minorHAnsi" w:hAnsiTheme="minorHAnsi"/>
          <w:sz w:val="24"/>
          <w:szCs w:val="24"/>
        </w:rPr>
        <w:t xml:space="preserve"> </w:t>
      </w:r>
      <w:r>
        <w:rPr>
          <w:rFonts w:asciiTheme="minorHAnsi" w:hAnsiTheme="minorHAnsi"/>
          <w:sz w:val="24"/>
          <w:szCs w:val="24"/>
        </w:rPr>
        <w:t>revised</w:t>
      </w:r>
      <w:r w:rsidRPr="002A3195">
        <w:rPr>
          <w:rFonts w:asciiTheme="minorHAnsi" w:hAnsiTheme="minorHAnsi"/>
          <w:sz w:val="24"/>
          <w:szCs w:val="24"/>
        </w:rPr>
        <w:t xml:space="preserve"> HHC in the Alaska Pollutant Discharge Elimination System (APDES) </w:t>
      </w:r>
      <w:r>
        <w:rPr>
          <w:rFonts w:asciiTheme="minorHAnsi" w:hAnsiTheme="minorHAnsi"/>
          <w:sz w:val="24"/>
          <w:szCs w:val="24"/>
        </w:rPr>
        <w:t>permits;</w:t>
      </w:r>
      <w:r w:rsidRPr="002A3195">
        <w:rPr>
          <w:rFonts w:asciiTheme="minorHAnsi" w:hAnsiTheme="minorHAnsi"/>
          <w:sz w:val="24"/>
          <w:szCs w:val="24"/>
        </w:rPr>
        <w:t xml:space="preserve"> or </w:t>
      </w:r>
    </w:p>
    <w:p w14:paraId="6F2B9EFB" w14:textId="77777777" w:rsidR="00C555E8" w:rsidRPr="00864F6E" w:rsidRDefault="00C555E8" w:rsidP="00C555E8">
      <w:pPr>
        <w:pStyle w:val="ListParagraph"/>
        <w:numPr>
          <w:ilvl w:val="0"/>
          <w:numId w:val="14"/>
        </w:numPr>
        <w:spacing w:before="0" w:after="120"/>
        <w:jc w:val="both"/>
        <w:rPr>
          <w:sz w:val="24"/>
          <w:szCs w:val="24"/>
        </w:rPr>
      </w:pPr>
      <w:proofErr w:type="gramStart"/>
      <w:r>
        <w:rPr>
          <w:rFonts w:asciiTheme="minorHAnsi" w:hAnsiTheme="minorHAnsi"/>
          <w:sz w:val="24"/>
          <w:szCs w:val="24"/>
        </w:rPr>
        <w:t>evaluating</w:t>
      </w:r>
      <w:proofErr w:type="gramEnd"/>
      <w:r>
        <w:rPr>
          <w:rFonts w:asciiTheme="minorHAnsi" w:hAnsiTheme="minorHAnsi"/>
          <w:sz w:val="24"/>
          <w:szCs w:val="24"/>
        </w:rPr>
        <w:t xml:space="preserve"> </w:t>
      </w:r>
      <w:r w:rsidRPr="002A3195">
        <w:rPr>
          <w:rFonts w:asciiTheme="minorHAnsi" w:hAnsiTheme="minorHAnsi"/>
          <w:sz w:val="24"/>
          <w:szCs w:val="24"/>
        </w:rPr>
        <w:t xml:space="preserve">economic outcomes </w:t>
      </w:r>
      <w:r>
        <w:rPr>
          <w:rFonts w:asciiTheme="minorHAnsi" w:hAnsiTheme="minorHAnsi"/>
          <w:sz w:val="24"/>
          <w:szCs w:val="24"/>
        </w:rPr>
        <w:t xml:space="preserve">that could result from </w:t>
      </w:r>
      <w:r w:rsidRPr="002A3195">
        <w:rPr>
          <w:rFonts w:asciiTheme="minorHAnsi" w:hAnsiTheme="minorHAnsi"/>
          <w:sz w:val="24"/>
          <w:szCs w:val="24"/>
        </w:rPr>
        <w:t xml:space="preserve"> any </w:t>
      </w:r>
      <w:r>
        <w:rPr>
          <w:rFonts w:asciiTheme="minorHAnsi" w:hAnsiTheme="minorHAnsi"/>
          <w:sz w:val="24"/>
          <w:szCs w:val="24"/>
        </w:rPr>
        <w:t xml:space="preserve">future </w:t>
      </w:r>
      <w:r w:rsidRPr="002A3195">
        <w:rPr>
          <w:rFonts w:asciiTheme="minorHAnsi" w:hAnsiTheme="minorHAnsi"/>
          <w:sz w:val="24"/>
          <w:szCs w:val="24"/>
        </w:rPr>
        <w:t>rule making .</w:t>
      </w:r>
    </w:p>
    <w:p w14:paraId="64987F42" w14:textId="77BF0016" w:rsidR="00D972B8" w:rsidRPr="00F314C1" w:rsidRDefault="00A57356" w:rsidP="00821F98">
      <w:pPr>
        <w:jc w:val="both"/>
        <w:rPr>
          <w:rFonts w:asciiTheme="minorHAnsi" w:hAnsiTheme="minorHAnsi"/>
          <w:sz w:val="24"/>
          <w:szCs w:val="24"/>
        </w:rPr>
      </w:pPr>
      <w:r w:rsidRPr="00F314C1">
        <w:rPr>
          <w:rFonts w:asciiTheme="minorHAnsi" w:hAnsiTheme="minorHAnsi"/>
          <w:sz w:val="24"/>
          <w:szCs w:val="24"/>
        </w:rPr>
        <w:t>The remainder of this report is organized as follows</w:t>
      </w:r>
      <w:r w:rsidR="00F8698B" w:rsidRPr="00F314C1">
        <w:rPr>
          <w:rFonts w:asciiTheme="minorHAnsi" w:hAnsiTheme="minorHAnsi"/>
          <w:sz w:val="24"/>
          <w:szCs w:val="24"/>
        </w:rPr>
        <w:t>:</w:t>
      </w:r>
    </w:p>
    <w:p w14:paraId="64987F43" w14:textId="16044804" w:rsidR="00D972B8" w:rsidRPr="00F314C1" w:rsidRDefault="00D972B8" w:rsidP="00821F98">
      <w:pPr>
        <w:pStyle w:val="ListParagraph"/>
        <w:numPr>
          <w:ilvl w:val="0"/>
          <w:numId w:val="7"/>
        </w:numPr>
        <w:spacing w:before="0" w:after="120"/>
        <w:jc w:val="both"/>
        <w:rPr>
          <w:rFonts w:asciiTheme="minorHAnsi" w:hAnsiTheme="minorHAnsi"/>
          <w:sz w:val="24"/>
          <w:szCs w:val="24"/>
        </w:rPr>
      </w:pPr>
      <w:r w:rsidRPr="00F314C1">
        <w:rPr>
          <w:rFonts w:asciiTheme="minorHAnsi" w:hAnsiTheme="minorHAnsi"/>
          <w:b/>
          <w:sz w:val="24"/>
          <w:szCs w:val="24"/>
        </w:rPr>
        <w:t>Section 2</w:t>
      </w:r>
      <w:r w:rsidR="00706B1F" w:rsidRPr="00F314C1">
        <w:rPr>
          <w:rFonts w:asciiTheme="minorHAnsi" w:hAnsiTheme="minorHAnsi"/>
          <w:b/>
          <w:sz w:val="24"/>
          <w:szCs w:val="24"/>
        </w:rPr>
        <w:t xml:space="preserve"> </w:t>
      </w:r>
      <w:r w:rsidR="00D455A3" w:rsidRPr="00F314C1">
        <w:rPr>
          <w:rFonts w:asciiTheme="minorHAnsi" w:hAnsiTheme="minorHAnsi"/>
          <w:sz w:val="24"/>
          <w:szCs w:val="24"/>
        </w:rPr>
        <w:t>provide</w:t>
      </w:r>
      <w:r w:rsidR="008E52D2" w:rsidRPr="00F314C1">
        <w:rPr>
          <w:rFonts w:asciiTheme="minorHAnsi" w:hAnsiTheme="minorHAnsi"/>
          <w:sz w:val="24"/>
          <w:szCs w:val="24"/>
        </w:rPr>
        <w:t>s</w:t>
      </w:r>
      <w:r w:rsidR="00D455A3" w:rsidRPr="00F314C1">
        <w:rPr>
          <w:rFonts w:asciiTheme="minorHAnsi" w:hAnsiTheme="minorHAnsi"/>
          <w:sz w:val="24"/>
          <w:szCs w:val="24"/>
        </w:rPr>
        <w:t xml:space="preserve"> </w:t>
      </w:r>
      <w:r w:rsidR="000912B0" w:rsidRPr="00F314C1">
        <w:rPr>
          <w:rFonts w:asciiTheme="minorHAnsi" w:hAnsiTheme="minorHAnsi"/>
          <w:sz w:val="24"/>
          <w:szCs w:val="24"/>
        </w:rPr>
        <w:t>an overview</w:t>
      </w:r>
      <w:r w:rsidR="00A507B1" w:rsidRPr="00F314C1">
        <w:rPr>
          <w:rFonts w:asciiTheme="minorHAnsi" w:hAnsiTheme="minorHAnsi"/>
          <w:sz w:val="24"/>
          <w:szCs w:val="24"/>
        </w:rPr>
        <w:t xml:space="preserve"> of </w:t>
      </w:r>
      <w:r w:rsidR="00D31726">
        <w:rPr>
          <w:rFonts w:asciiTheme="minorHAnsi" w:hAnsiTheme="minorHAnsi"/>
          <w:sz w:val="24"/>
          <w:szCs w:val="24"/>
        </w:rPr>
        <w:t>HHC</w:t>
      </w:r>
      <w:r w:rsidR="00D31726" w:rsidRPr="00F314C1">
        <w:rPr>
          <w:rFonts w:asciiTheme="minorHAnsi" w:hAnsiTheme="minorHAnsi"/>
          <w:sz w:val="24"/>
          <w:szCs w:val="24"/>
        </w:rPr>
        <w:t xml:space="preserve"> </w:t>
      </w:r>
      <w:r w:rsidR="000912B0" w:rsidRPr="00F314C1">
        <w:rPr>
          <w:rFonts w:asciiTheme="minorHAnsi" w:hAnsiTheme="minorHAnsi"/>
          <w:sz w:val="24"/>
          <w:szCs w:val="24"/>
        </w:rPr>
        <w:t xml:space="preserve">and </w:t>
      </w:r>
      <w:r w:rsidR="00A507B1" w:rsidRPr="00F314C1">
        <w:rPr>
          <w:rFonts w:asciiTheme="minorHAnsi" w:hAnsiTheme="minorHAnsi"/>
          <w:sz w:val="24"/>
          <w:szCs w:val="24"/>
        </w:rPr>
        <w:t>fish consumption</w:t>
      </w:r>
      <w:r w:rsidR="0047326D" w:rsidRPr="00F314C1">
        <w:rPr>
          <w:rFonts w:asciiTheme="minorHAnsi" w:hAnsiTheme="minorHAnsi"/>
          <w:sz w:val="24"/>
          <w:szCs w:val="24"/>
        </w:rPr>
        <w:t xml:space="preserve"> rates;</w:t>
      </w:r>
    </w:p>
    <w:p w14:paraId="64987F44" w14:textId="19C4F4D0" w:rsidR="00F72655" w:rsidRPr="00F314C1" w:rsidRDefault="00D972B8" w:rsidP="00821F98">
      <w:pPr>
        <w:pStyle w:val="ListParagraph"/>
        <w:numPr>
          <w:ilvl w:val="0"/>
          <w:numId w:val="7"/>
        </w:numPr>
        <w:spacing w:before="0" w:after="120"/>
        <w:jc w:val="both"/>
        <w:rPr>
          <w:rFonts w:asciiTheme="minorHAnsi" w:hAnsiTheme="minorHAnsi"/>
          <w:sz w:val="24"/>
          <w:szCs w:val="24"/>
        </w:rPr>
      </w:pPr>
      <w:r w:rsidRPr="00F314C1">
        <w:rPr>
          <w:rFonts w:asciiTheme="minorHAnsi" w:hAnsiTheme="minorHAnsi"/>
          <w:b/>
          <w:sz w:val="24"/>
          <w:szCs w:val="24"/>
        </w:rPr>
        <w:t>Section 3</w:t>
      </w:r>
      <w:r w:rsidR="00F8698B" w:rsidRPr="00F314C1">
        <w:rPr>
          <w:rFonts w:asciiTheme="minorHAnsi" w:hAnsiTheme="minorHAnsi"/>
          <w:sz w:val="24"/>
          <w:szCs w:val="24"/>
        </w:rPr>
        <w:t xml:space="preserve"> </w:t>
      </w:r>
      <w:r w:rsidRPr="00F314C1">
        <w:rPr>
          <w:rFonts w:asciiTheme="minorHAnsi" w:hAnsiTheme="minorHAnsi"/>
          <w:sz w:val="24"/>
          <w:szCs w:val="24"/>
        </w:rPr>
        <w:t xml:space="preserve">describes the methods used to </w:t>
      </w:r>
      <w:r w:rsidR="000912B0" w:rsidRPr="00F314C1">
        <w:rPr>
          <w:rFonts w:asciiTheme="minorHAnsi" w:hAnsiTheme="minorHAnsi"/>
          <w:sz w:val="24"/>
          <w:szCs w:val="24"/>
        </w:rPr>
        <w:t xml:space="preserve">acquire </w:t>
      </w:r>
      <w:r w:rsidRPr="00F314C1">
        <w:rPr>
          <w:rFonts w:asciiTheme="minorHAnsi" w:hAnsiTheme="minorHAnsi"/>
          <w:sz w:val="24"/>
          <w:szCs w:val="24"/>
        </w:rPr>
        <w:t xml:space="preserve">the information </w:t>
      </w:r>
      <w:r w:rsidR="000912B0" w:rsidRPr="00F314C1">
        <w:rPr>
          <w:rFonts w:asciiTheme="minorHAnsi" w:hAnsiTheme="minorHAnsi"/>
          <w:sz w:val="24"/>
          <w:szCs w:val="24"/>
        </w:rPr>
        <w:t>summarized in</w:t>
      </w:r>
      <w:r w:rsidR="0047326D" w:rsidRPr="00F314C1">
        <w:rPr>
          <w:rFonts w:asciiTheme="minorHAnsi" w:hAnsiTheme="minorHAnsi"/>
          <w:sz w:val="24"/>
          <w:szCs w:val="24"/>
        </w:rPr>
        <w:t xml:space="preserve"> this report;</w:t>
      </w:r>
    </w:p>
    <w:p w14:paraId="64987F45" w14:textId="14DFB73E" w:rsidR="00F72655" w:rsidRPr="00F314C1" w:rsidRDefault="00CB1445" w:rsidP="00821F98">
      <w:pPr>
        <w:pStyle w:val="ListParagraph"/>
        <w:numPr>
          <w:ilvl w:val="0"/>
          <w:numId w:val="7"/>
        </w:numPr>
        <w:spacing w:before="0" w:after="120"/>
        <w:jc w:val="both"/>
        <w:rPr>
          <w:rFonts w:asciiTheme="minorHAnsi" w:hAnsiTheme="minorHAnsi"/>
          <w:sz w:val="24"/>
          <w:szCs w:val="24"/>
        </w:rPr>
      </w:pPr>
      <w:r w:rsidRPr="00F314C1">
        <w:rPr>
          <w:rFonts w:asciiTheme="minorHAnsi" w:hAnsiTheme="minorHAnsi"/>
          <w:b/>
          <w:sz w:val="24"/>
          <w:szCs w:val="24"/>
        </w:rPr>
        <w:t>Section 4</w:t>
      </w:r>
      <w:r w:rsidRPr="00F314C1">
        <w:rPr>
          <w:rFonts w:asciiTheme="minorHAnsi" w:hAnsiTheme="minorHAnsi"/>
          <w:sz w:val="24"/>
          <w:szCs w:val="24"/>
        </w:rPr>
        <w:t xml:space="preserve"> </w:t>
      </w:r>
      <w:r w:rsidR="00D455A3" w:rsidRPr="00F314C1">
        <w:rPr>
          <w:rFonts w:asciiTheme="minorHAnsi" w:hAnsiTheme="minorHAnsi"/>
          <w:sz w:val="24"/>
          <w:szCs w:val="24"/>
        </w:rPr>
        <w:t>present</w:t>
      </w:r>
      <w:r w:rsidR="001201AE" w:rsidRPr="00F314C1">
        <w:rPr>
          <w:rFonts w:asciiTheme="minorHAnsi" w:hAnsiTheme="minorHAnsi"/>
          <w:sz w:val="24"/>
          <w:szCs w:val="24"/>
        </w:rPr>
        <w:t>s</w:t>
      </w:r>
      <w:r w:rsidR="00D455A3" w:rsidRPr="00F314C1">
        <w:rPr>
          <w:rFonts w:asciiTheme="minorHAnsi" w:hAnsiTheme="minorHAnsi"/>
          <w:sz w:val="24"/>
          <w:szCs w:val="24"/>
        </w:rPr>
        <w:t xml:space="preserve"> a review of </w:t>
      </w:r>
      <w:r w:rsidR="000912B0" w:rsidRPr="00F314C1">
        <w:rPr>
          <w:rFonts w:asciiTheme="minorHAnsi" w:hAnsiTheme="minorHAnsi"/>
          <w:sz w:val="24"/>
          <w:szCs w:val="24"/>
        </w:rPr>
        <w:t xml:space="preserve">existing studies and data on </w:t>
      </w:r>
      <w:r w:rsidR="00D455A3" w:rsidRPr="00F314C1">
        <w:rPr>
          <w:rFonts w:asciiTheme="minorHAnsi" w:hAnsiTheme="minorHAnsi"/>
          <w:sz w:val="24"/>
          <w:szCs w:val="24"/>
        </w:rPr>
        <w:t xml:space="preserve">fish consumption </w:t>
      </w:r>
      <w:r w:rsidR="000912B0" w:rsidRPr="00F314C1">
        <w:rPr>
          <w:rFonts w:asciiTheme="minorHAnsi" w:hAnsiTheme="minorHAnsi"/>
          <w:sz w:val="24"/>
          <w:szCs w:val="24"/>
        </w:rPr>
        <w:t>rates in Alaska</w:t>
      </w:r>
      <w:r w:rsidR="0047326D" w:rsidRPr="00F314C1">
        <w:rPr>
          <w:rFonts w:asciiTheme="minorHAnsi" w:hAnsiTheme="minorHAnsi"/>
          <w:sz w:val="24"/>
          <w:szCs w:val="24"/>
        </w:rPr>
        <w:t>;</w:t>
      </w:r>
      <w:r w:rsidR="00D455A3" w:rsidRPr="00F314C1">
        <w:rPr>
          <w:rFonts w:asciiTheme="minorHAnsi" w:hAnsiTheme="minorHAnsi"/>
          <w:sz w:val="24"/>
          <w:szCs w:val="24"/>
        </w:rPr>
        <w:t xml:space="preserve"> </w:t>
      </w:r>
    </w:p>
    <w:p w14:paraId="64987F46" w14:textId="7E30AB3C" w:rsidR="00CB1445" w:rsidRPr="00F314C1" w:rsidRDefault="00F72655" w:rsidP="00821F98">
      <w:pPr>
        <w:pStyle w:val="ListParagraph"/>
        <w:numPr>
          <w:ilvl w:val="0"/>
          <w:numId w:val="7"/>
        </w:numPr>
        <w:spacing w:before="0" w:after="120"/>
        <w:jc w:val="both"/>
        <w:rPr>
          <w:rFonts w:asciiTheme="minorHAnsi" w:hAnsiTheme="minorHAnsi"/>
          <w:sz w:val="24"/>
          <w:szCs w:val="24"/>
        </w:rPr>
      </w:pPr>
      <w:r w:rsidRPr="00F314C1">
        <w:rPr>
          <w:rFonts w:asciiTheme="minorHAnsi" w:hAnsiTheme="minorHAnsi"/>
          <w:b/>
          <w:sz w:val="24"/>
          <w:szCs w:val="24"/>
        </w:rPr>
        <w:t xml:space="preserve">Section </w:t>
      </w:r>
      <w:r w:rsidR="00CB1445" w:rsidRPr="00F314C1">
        <w:rPr>
          <w:rFonts w:asciiTheme="minorHAnsi" w:hAnsiTheme="minorHAnsi"/>
          <w:b/>
          <w:sz w:val="24"/>
          <w:szCs w:val="24"/>
        </w:rPr>
        <w:t>5</w:t>
      </w:r>
      <w:r w:rsidR="00CB1445" w:rsidRPr="00F314C1">
        <w:rPr>
          <w:rFonts w:asciiTheme="minorHAnsi" w:hAnsiTheme="minorHAnsi"/>
          <w:sz w:val="24"/>
          <w:szCs w:val="24"/>
        </w:rPr>
        <w:t xml:space="preserve"> </w:t>
      </w:r>
      <w:r w:rsidR="00F8698B" w:rsidRPr="00F314C1">
        <w:rPr>
          <w:rFonts w:asciiTheme="minorHAnsi" w:hAnsiTheme="minorHAnsi"/>
          <w:sz w:val="24"/>
          <w:szCs w:val="24"/>
        </w:rPr>
        <w:t>d</w:t>
      </w:r>
      <w:r w:rsidRPr="00F314C1">
        <w:rPr>
          <w:rFonts w:asciiTheme="minorHAnsi" w:hAnsiTheme="minorHAnsi"/>
          <w:sz w:val="24"/>
          <w:szCs w:val="24"/>
        </w:rPr>
        <w:t xml:space="preserve">escribes </w:t>
      </w:r>
      <w:r w:rsidR="00CB1445" w:rsidRPr="00F314C1">
        <w:rPr>
          <w:rFonts w:asciiTheme="minorHAnsi" w:hAnsiTheme="minorHAnsi"/>
          <w:sz w:val="24"/>
          <w:szCs w:val="24"/>
        </w:rPr>
        <w:t>data gaps and limitations</w:t>
      </w:r>
      <w:r w:rsidR="0047326D" w:rsidRPr="00F314C1">
        <w:rPr>
          <w:rFonts w:asciiTheme="minorHAnsi" w:hAnsiTheme="minorHAnsi"/>
          <w:sz w:val="24"/>
          <w:szCs w:val="24"/>
        </w:rPr>
        <w:t>; and</w:t>
      </w:r>
    </w:p>
    <w:p w14:paraId="64987F47" w14:textId="6924F477" w:rsidR="000D1CAE" w:rsidRPr="00F314C1" w:rsidRDefault="00CB1445" w:rsidP="00821F98">
      <w:pPr>
        <w:pStyle w:val="ListParagraph"/>
        <w:numPr>
          <w:ilvl w:val="0"/>
          <w:numId w:val="7"/>
        </w:numPr>
        <w:spacing w:before="0" w:after="120"/>
        <w:jc w:val="both"/>
        <w:rPr>
          <w:rFonts w:asciiTheme="minorHAnsi" w:hAnsiTheme="minorHAnsi"/>
          <w:sz w:val="24"/>
          <w:szCs w:val="24"/>
        </w:rPr>
      </w:pPr>
      <w:r w:rsidRPr="00F314C1">
        <w:rPr>
          <w:rFonts w:asciiTheme="minorHAnsi" w:hAnsiTheme="minorHAnsi"/>
          <w:b/>
          <w:sz w:val="24"/>
          <w:szCs w:val="24"/>
        </w:rPr>
        <w:t>Section 6</w:t>
      </w:r>
      <w:r w:rsidR="00F8698B" w:rsidRPr="00F314C1">
        <w:rPr>
          <w:rFonts w:asciiTheme="minorHAnsi" w:hAnsiTheme="minorHAnsi"/>
          <w:sz w:val="24"/>
          <w:szCs w:val="24"/>
        </w:rPr>
        <w:t xml:space="preserve"> p</w:t>
      </w:r>
      <w:r w:rsidR="00F72655" w:rsidRPr="00F314C1">
        <w:rPr>
          <w:rFonts w:asciiTheme="minorHAnsi" w:hAnsiTheme="minorHAnsi"/>
          <w:sz w:val="24"/>
          <w:szCs w:val="24"/>
        </w:rPr>
        <w:t xml:space="preserve">rovides </w:t>
      </w:r>
      <w:r w:rsidR="001201AE" w:rsidRPr="00F314C1">
        <w:rPr>
          <w:rFonts w:asciiTheme="minorHAnsi" w:hAnsiTheme="minorHAnsi"/>
          <w:sz w:val="24"/>
          <w:szCs w:val="24"/>
        </w:rPr>
        <w:t xml:space="preserve">recommendations for future </w:t>
      </w:r>
      <w:r w:rsidRPr="00F314C1">
        <w:rPr>
          <w:rFonts w:asciiTheme="minorHAnsi" w:hAnsiTheme="minorHAnsi"/>
          <w:sz w:val="24"/>
          <w:szCs w:val="24"/>
        </w:rPr>
        <w:t>research</w:t>
      </w:r>
      <w:r w:rsidR="001201AE" w:rsidRPr="00F314C1">
        <w:rPr>
          <w:rFonts w:asciiTheme="minorHAnsi" w:hAnsiTheme="minorHAnsi"/>
          <w:sz w:val="24"/>
          <w:szCs w:val="24"/>
        </w:rPr>
        <w:t>.</w:t>
      </w:r>
    </w:p>
    <w:p w14:paraId="7C8F75E5" w14:textId="77777777" w:rsidR="00564F7E" w:rsidRDefault="00564F7E" w:rsidP="00F314C1">
      <w:pPr>
        <w:pStyle w:val="ListParagraph"/>
        <w:spacing w:before="0" w:after="120"/>
        <w:ind w:left="0"/>
        <w:jc w:val="both"/>
        <w:rPr>
          <w:rFonts w:asciiTheme="minorHAnsi" w:hAnsiTheme="minorHAnsi"/>
          <w:sz w:val="24"/>
          <w:szCs w:val="24"/>
        </w:rPr>
      </w:pPr>
    </w:p>
    <w:p w14:paraId="64987F49" w14:textId="39C8B6EB" w:rsidR="000D1CAE" w:rsidRPr="00F314C1" w:rsidRDefault="00641CFB" w:rsidP="00564F7E">
      <w:pPr>
        <w:pStyle w:val="SectionHeader"/>
        <w:jc w:val="both"/>
        <w:rPr>
          <w:sz w:val="24"/>
          <w:szCs w:val="24"/>
        </w:rPr>
      </w:pPr>
      <w:bookmarkStart w:id="5" w:name="_Toc390121641"/>
      <w:bookmarkStart w:id="6" w:name="_Toc390121732"/>
      <w:bookmarkStart w:id="7" w:name="_Toc390121869"/>
      <w:bookmarkStart w:id="8" w:name="_Toc391035967"/>
      <w:r w:rsidRPr="00F314C1">
        <w:rPr>
          <w:sz w:val="24"/>
          <w:szCs w:val="24"/>
        </w:rPr>
        <w:t xml:space="preserve">Human Health </w:t>
      </w:r>
      <w:r w:rsidR="00FF181D" w:rsidRPr="00F314C1">
        <w:rPr>
          <w:sz w:val="24"/>
          <w:szCs w:val="24"/>
        </w:rPr>
        <w:t xml:space="preserve">Ambient </w:t>
      </w:r>
      <w:r w:rsidRPr="00F314C1">
        <w:rPr>
          <w:sz w:val="24"/>
          <w:szCs w:val="24"/>
        </w:rPr>
        <w:t>Water Quality Criteria and Fish Consumption Rates</w:t>
      </w:r>
      <w:bookmarkEnd w:id="5"/>
      <w:bookmarkEnd w:id="6"/>
      <w:bookmarkEnd w:id="7"/>
      <w:bookmarkEnd w:id="8"/>
    </w:p>
    <w:p w14:paraId="7A1680B1" w14:textId="371E4569" w:rsidR="00645FBB" w:rsidRPr="00F314C1" w:rsidRDefault="00645FBB" w:rsidP="002C7DB6">
      <w:pPr>
        <w:jc w:val="both"/>
        <w:rPr>
          <w:rFonts w:asciiTheme="minorHAnsi" w:hAnsiTheme="minorHAnsi"/>
          <w:sz w:val="24"/>
          <w:szCs w:val="24"/>
        </w:rPr>
      </w:pPr>
      <w:r w:rsidRPr="00F314C1">
        <w:rPr>
          <w:rFonts w:asciiTheme="minorHAnsi" w:hAnsiTheme="minorHAnsi"/>
          <w:sz w:val="24"/>
          <w:szCs w:val="24"/>
        </w:rPr>
        <w:t xml:space="preserve">Some contaminants in water, such as mercury and persistent organic pollutants, can </w:t>
      </w:r>
      <w:proofErr w:type="spellStart"/>
      <w:r w:rsidRPr="00F314C1">
        <w:rPr>
          <w:rFonts w:asciiTheme="minorHAnsi" w:hAnsiTheme="minorHAnsi"/>
          <w:sz w:val="24"/>
          <w:szCs w:val="24"/>
        </w:rPr>
        <w:t>bioaccumulate</w:t>
      </w:r>
      <w:proofErr w:type="spellEnd"/>
      <w:r w:rsidRPr="00F314C1">
        <w:rPr>
          <w:rFonts w:asciiTheme="minorHAnsi" w:hAnsiTheme="minorHAnsi"/>
          <w:sz w:val="24"/>
          <w:szCs w:val="24"/>
        </w:rPr>
        <w:t xml:space="preserve"> and have toxicological impacts to fish, shellfish, and other aquatic organisms. Contaminants that </w:t>
      </w:r>
      <w:proofErr w:type="spellStart"/>
      <w:r w:rsidRPr="00F314C1">
        <w:rPr>
          <w:rFonts w:asciiTheme="minorHAnsi" w:hAnsiTheme="minorHAnsi"/>
          <w:sz w:val="24"/>
          <w:szCs w:val="24"/>
        </w:rPr>
        <w:t>bioaccumulate</w:t>
      </w:r>
      <w:proofErr w:type="spellEnd"/>
      <w:r w:rsidRPr="00F314C1">
        <w:rPr>
          <w:rFonts w:asciiTheme="minorHAnsi" w:hAnsiTheme="minorHAnsi"/>
          <w:sz w:val="24"/>
          <w:szCs w:val="24"/>
        </w:rPr>
        <w:t xml:space="preserve"> can </w:t>
      </w:r>
      <w:proofErr w:type="spellStart"/>
      <w:r w:rsidRPr="00F314C1">
        <w:rPr>
          <w:rFonts w:asciiTheme="minorHAnsi" w:hAnsiTheme="minorHAnsi"/>
          <w:sz w:val="24"/>
          <w:szCs w:val="24"/>
        </w:rPr>
        <w:t>biomagnify</w:t>
      </w:r>
      <w:proofErr w:type="spellEnd"/>
      <w:r w:rsidRPr="00F314C1">
        <w:rPr>
          <w:rFonts w:asciiTheme="minorHAnsi" w:hAnsiTheme="minorHAnsi"/>
          <w:sz w:val="24"/>
          <w:szCs w:val="24"/>
        </w:rPr>
        <w:t xml:space="preserve"> up the food chain</w:t>
      </w:r>
      <w:r w:rsidR="00564F7E">
        <w:rPr>
          <w:rFonts w:asciiTheme="minorHAnsi" w:hAnsiTheme="minorHAnsi"/>
          <w:sz w:val="24"/>
          <w:szCs w:val="24"/>
        </w:rPr>
        <w:t>.</w:t>
      </w:r>
      <w:r w:rsidRPr="00F314C1">
        <w:rPr>
          <w:rFonts w:asciiTheme="minorHAnsi" w:hAnsiTheme="minorHAnsi"/>
          <w:sz w:val="24"/>
          <w:szCs w:val="24"/>
        </w:rPr>
        <w:t xml:space="preserve"> </w:t>
      </w:r>
      <w:r w:rsidR="00564F7E">
        <w:rPr>
          <w:rFonts w:asciiTheme="minorHAnsi" w:hAnsiTheme="minorHAnsi"/>
          <w:sz w:val="24"/>
          <w:szCs w:val="24"/>
        </w:rPr>
        <w:t>This means</w:t>
      </w:r>
      <w:r w:rsidR="00564F7E" w:rsidRPr="00F314C1">
        <w:rPr>
          <w:rFonts w:asciiTheme="minorHAnsi" w:hAnsiTheme="minorHAnsi"/>
          <w:sz w:val="24"/>
          <w:szCs w:val="24"/>
        </w:rPr>
        <w:t xml:space="preserve"> </w:t>
      </w:r>
      <w:r w:rsidRPr="00F314C1">
        <w:rPr>
          <w:rFonts w:asciiTheme="minorHAnsi" w:hAnsiTheme="minorHAnsi"/>
          <w:sz w:val="24"/>
          <w:szCs w:val="24"/>
        </w:rPr>
        <w:t xml:space="preserve">that the contaminant becomes more concentrated at each </w:t>
      </w:r>
      <w:r w:rsidR="003D4EF7" w:rsidRPr="00F314C1">
        <w:rPr>
          <w:rFonts w:asciiTheme="minorHAnsi" w:hAnsiTheme="minorHAnsi"/>
          <w:sz w:val="24"/>
          <w:szCs w:val="24"/>
        </w:rPr>
        <w:t xml:space="preserve">higher </w:t>
      </w:r>
      <w:r w:rsidRPr="00F314C1">
        <w:rPr>
          <w:rFonts w:asciiTheme="minorHAnsi" w:hAnsiTheme="minorHAnsi"/>
          <w:sz w:val="24"/>
          <w:szCs w:val="24"/>
        </w:rPr>
        <w:t xml:space="preserve">level of the food chain. Mercury is of particular concern for humans because it affects the central nervous system. </w:t>
      </w:r>
      <w:r w:rsidR="008726F1" w:rsidRPr="00F314C1">
        <w:rPr>
          <w:rFonts w:asciiTheme="minorHAnsi" w:hAnsiTheme="minorHAnsi"/>
          <w:sz w:val="24"/>
          <w:szCs w:val="24"/>
        </w:rPr>
        <w:t>Persistent organic pollutants</w:t>
      </w:r>
      <w:r w:rsidRPr="00F314C1">
        <w:rPr>
          <w:rFonts w:asciiTheme="minorHAnsi" w:hAnsiTheme="minorHAnsi"/>
          <w:sz w:val="24"/>
          <w:szCs w:val="24"/>
        </w:rPr>
        <w:t>, including polychlorinated biphenyls (</w:t>
      </w:r>
      <w:r w:rsidR="00ED5C39">
        <w:rPr>
          <w:rFonts w:asciiTheme="minorHAnsi" w:hAnsiTheme="minorHAnsi"/>
          <w:sz w:val="24"/>
          <w:szCs w:val="24"/>
        </w:rPr>
        <w:t xml:space="preserve">commonly known as </w:t>
      </w:r>
      <w:r w:rsidRPr="00F314C1">
        <w:rPr>
          <w:rFonts w:asciiTheme="minorHAnsi" w:hAnsiTheme="minorHAnsi"/>
          <w:sz w:val="24"/>
          <w:szCs w:val="24"/>
        </w:rPr>
        <w:t xml:space="preserve">PCBs) and </w:t>
      </w:r>
      <w:proofErr w:type="spellStart"/>
      <w:r w:rsidRPr="00F314C1">
        <w:rPr>
          <w:rFonts w:asciiTheme="minorHAnsi" w:hAnsiTheme="minorHAnsi"/>
          <w:sz w:val="24"/>
          <w:szCs w:val="24"/>
        </w:rPr>
        <w:t>dichloro</w:t>
      </w:r>
      <w:proofErr w:type="spellEnd"/>
      <w:r w:rsidRPr="00F314C1">
        <w:rPr>
          <w:rFonts w:asciiTheme="minorHAnsi" w:hAnsiTheme="minorHAnsi"/>
          <w:sz w:val="24"/>
          <w:szCs w:val="24"/>
        </w:rPr>
        <w:t>-diphenyl-</w:t>
      </w:r>
      <w:proofErr w:type="spellStart"/>
      <w:r w:rsidRPr="00F314C1">
        <w:rPr>
          <w:rFonts w:asciiTheme="minorHAnsi" w:hAnsiTheme="minorHAnsi"/>
          <w:sz w:val="24"/>
          <w:szCs w:val="24"/>
        </w:rPr>
        <w:t>trichloroethane</w:t>
      </w:r>
      <w:proofErr w:type="spellEnd"/>
      <w:r w:rsidRPr="00F314C1">
        <w:rPr>
          <w:rFonts w:asciiTheme="minorHAnsi" w:hAnsiTheme="minorHAnsi"/>
          <w:sz w:val="24"/>
          <w:szCs w:val="24"/>
        </w:rPr>
        <w:t xml:space="preserve"> (</w:t>
      </w:r>
      <w:r w:rsidR="00ED5C39">
        <w:rPr>
          <w:rFonts w:asciiTheme="minorHAnsi" w:hAnsiTheme="minorHAnsi"/>
          <w:sz w:val="24"/>
          <w:szCs w:val="24"/>
        </w:rPr>
        <w:t xml:space="preserve">commonly known as </w:t>
      </w:r>
      <w:r w:rsidRPr="00F314C1">
        <w:rPr>
          <w:rFonts w:asciiTheme="minorHAnsi" w:hAnsiTheme="minorHAnsi"/>
          <w:sz w:val="24"/>
          <w:szCs w:val="24"/>
        </w:rPr>
        <w:t>DDT), are a group of pollutants that do not readily degrade and pose myriad human health impacts (</w:t>
      </w:r>
      <w:r w:rsidR="003D4EF7" w:rsidRPr="00F314C1">
        <w:rPr>
          <w:rFonts w:asciiTheme="minorHAnsi" w:hAnsiTheme="minorHAnsi"/>
          <w:sz w:val="24"/>
          <w:szCs w:val="24"/>
        </w:rPr>
        <w:t>Department of Health and Social Services (</w:t>
      </w:r>
      <w:r w:rsidRPr="00F314C1">
        <w:rPr>
          <w:rFonts w:asciiTheme="minorHAnsi" w:hAnsiTheme="minorHAnsi"/>
          <w:sz w:val="24"/>
          <w:szCs w:val="24"/>
        </w:rPr>
        <w:t>DHSS</w:t>
      </w:r>
      <w:r w:rsidR="003D4EF7" w:rsidRPr="00F314C1">
        <w:rPr>
          <w:rFonts w:asciiTheme="minorHAnsi" w:hAnsiTheme="minorHAnsi"/>
          <w:sz w:val="24"/>
          <w:szCs w:val="24"/>
        </w:rPr>
        <w:t>)</w:t>
      </w:r>
      <w:r w:rsidRPr="00F314C1">
        <w:rPr>
          <w:rFonts w:asciiTheme="minorHAnsi" w:hAnsiTheme="minorHAnsi"/>
          <w:sz w:val="24"/>
          <w:szCs w:val="24"/>
        </w:rPr>
        <w:t xml:space="preserve">, 2007; </w:t>
      </w:r>
      <w:r w:rsidR="006F565C" w:rsidRPr="00F314C1">
        <w:rPr>
          <w:rFonts w:asciiTheme="minorHAnsi" w:hAnsiTheme="minorHAnsi"/>
          <w:sz w:val="24"/>
          <w:szCs w:val="24"/>
        </w:rPr>
        <w:t>EPA, 2012)</w:t>
      </w:r>
      <w:r w:rsidRPr="00F314C1">
        <w:rPr>
          <w:rFonts w:asciiTheme="minorHAnsi" w:hAnsiTheme="minorHAnsi"/>
          <w:sz w:val="24"/>
          <w:szCs w:val="24"/>
        </w:rPr>
        <w:t xml:space="preserve">. </w:t>
      </w:r>
    </w:p>
    <w:p w14:paraId="4C53F02D" w14:textId="3F0DCC7E" w:rsidR="00645FBB" w:rsidRDefault="00645FBB" w:rsidP="002C7DB6">
      <w:pPr>
        <w:jc w:val="both"/>
        <w:rPr>
          <w:rFonts w:asciiTheme="minorHAnsi" w:hAnsiTheme="minorHAnsi"/>
          <w:sz w:val="24"/>
          <w:szCs w:val="24"/>
        </w:rPr>
      </w:pPr>
      <w:r w:rsidRPr="00F314C1">
        <w:rPr>
          <w:rFonts w:asciiTheme="minorHAnsi" w:hAnsiTheme="minorHAnsi"/>
          <w:sz w:val="24"/>
          <w:szCs w:val="24"/>
        </w:rPr>
        <w:t>A</w:t>
      </w:r>
      <w:r w:rsidR="002028F8">
        <w:rPr>
          <w:rFonts w:asciiTheme="minorHAnsi" w:hAnsiTheme="minorHAnsi"/>
          <w:sz w:val="24"/>
          <w:szCs w:val="24"/>
        </w:rPr>
        <w:t>n</w:t>
      </w:r>
      <w:r w:rsidRPr="00F314C1">
        <w:rPr>
          <w:rFonts w:asciiTheme="minorHAnsi" w:hAnsiTheme="minorHAnsi"/>
          <w:sz w:val="24"/>
          <w:szCs w:val="24"/>
        </w:rPr>
        <w:t xml:space="preserve"> </w:t>
      </w:r>
      <w:r w:rsidR="002028F8">
        <w:rPr>
          <w:rFonts w:asciiTheme="minorHAnsi" w:hAnsiTheme="minorHAnsi"/>
          <w:sz w:val="24"/>
          <w:szCs w:val="24"/>
        </w:rPr>
        <w:t>HHC</w:t>
      </w:r>
      <w:r w:rsidR="000D62A9" w:rsidRPr="00F314C1">
        <w:rPr>
          <w:rFonts w:asciiTheme="minorHAnsi" w:hAnsiTheme="minorHAnsi"/>
          <w:sz w:val="24"/>
          <w:szCs w:val="24"/>
        </w:rPr>
        <w:t xml:space="preserve"> </w:t>
      </w:r>
      <w:r w:rsidRPr="00F314C1">
        <w:rPr>
          <w:rFonts w:asciiTheme="minorHAnsi" w:hAnsiTheme="minorHAnsi"/>
          <w:sz w:val="24"/>
          <w:szCs w:val="24"/>
        </w:rPr>
        <w:t>sets a target concentration for a given pollutant, below which levels are not expected to pose a significant risk to humans. States and authorized tribes (hereinafter referred to as states) can adopt the</w:t>
      </w:r>
      <w:r w:rsidR="0013599E">
        <w:rPr>
          <w:rFonts w:asciiTheme="minorHAnsi" w:hAnsiTheme="minorHAnsi"/>
          <w:sz w:val="24"/>
          <w:szCs w:val="24"/>
        </w:rPr>
        <w:t xml:space="preserve"> nationally-</w:t>
      </w:r>
      <w:r w:rsidRPr="00F314C1">
        <w:rPr>
          <w:rFonts w:asciiTheme="minorHAnsi" w:hAnsiTheme="minorHAnsi"/>
          <w:sz w:val="24"/>
          <w:szCs w:val="24"/>
        </w:rPr>
        <w:t xml:space="preserve">recommended </w:t>
      </w:r>
      <w:r w:rsidR="000D62A9" w:rsidRPr="00F314C1">
        <w:rPr>
          <w:rFonts w:asciiTheme="minorHAnsi" w:hAnsiTheme="minorHAnsi"/>
          <w:sz w:val="24"/>
          <w:szCs w:val="24"/>
        </w:rPr>
        <w:t xml:space="preserve">HHC </w:t>
      </w:r>
      <w:r w:rsidRPr="00F314C1">
        <w:rPr>
          <w:rFonts w:asciiTheme="minorHAnsi" w:hAnsiTheme="minorHAnsi"/>
          <w:sz w:val="24"/>
          <w:szCs w:val="24"/>
        </w:rPr>
        <w:t xml:space="preserve">or modify them based on site-specific conditions. Because certain populations may be at an increased risk from contaminants in fish (e.g., children, pregnant women, and people who consume a lot of fish and shellfish), fish consumption rate (FCR) is considered when deriving </w:t>
      </w:r>
      <w:r w:rsidR="000D62A9" w:rsidRPr="00F314C1">
        <w:rPr>
          <w:rFonts w:asciiTheme="minorHAnsi" w:hAnsiTheme="minorHAnsi"/>
          <w:sz w:val="24"/>
          <w:szCs w:val="24"/>
        </w:rPr>
        <w:t>HHC</w:t>
      </w:r>
      <w:r w:rsidRPr="00F314C1">
        <w:rPr>
          <w:rFonts w:asciiTheme="minorHAnsi" w:hAnsiTheme="minorHAnsi"/>
          <w:sz w:val="24"/>
          <w:szCs w:val="24"/>
        </w:rPr>
        <w:t xml:space="preserve"> for these types of toxic pollutants. FCR refers to a person’s fish or shellfish consumption per unit of time</w:t>
      </w:r>
      <w:r w:rsidR="00564F7E">
        <w:rPr>
          <w:rFonts w:asciiTheme="minorHAnsi" w:hAnsiTheme="minorHAnsi"/>
          <w:sz w:val="24"/>
          <w:szCs w:val="24"/>
        </w:rPr>
        <w:t xml:space="preserve"> (i.e. grams per day)</w:t>
      </w:r>
      <w:r w:rsidRPr="00F314C1">
        <w:rPr>
          <w:rFonts w:asciiTheme="minorHAnsi" w:hAnsiTheme="minorHAnsi"/>
          <w:sz w:val="24"/>
          <w:szCs w:val="24"/>
        </w:rPr>
        <w:t xml:space="preserve"> (</w:t>
      </w:r>
      <w:r w:rsidR="00A0241F" w:rsidRPr="00F314C1">
        <w:rPr>
          <w:rFonts w:asciiTheme="minorHAnsi" w:hAnsiTheme="minorHAnsi"/>
          <w:sz w:val="24"/>
          <w:szCs w:val="24"/>
        </w:rPr>
        <w:t>EPA, 2014a</w:t>
      </w:r>
      <w:r w:rsidRPr="00F314C1">
        <w:rPr>
          <w:rFonts w:asciiTheme="minorHAnsi" w:hAnsiTheme="minorHAnsi"/>
          <w:sz w:val="24"/>
          <w:szCs w:val="24"/>
        </w:rPr>
        <w:t xml:space="preserve">). </w:t>
      </w:r>
      <w:r w:rsidR="0013599E">
        <w:rPr>
          <w:rFonts w:asciiTheme="minorHAnsi" w:hAnsiTheme="minorHAnsi"/>
          <w:sz w:val="24"/>
          <w:szCs w:val="24"/>
        </w:rPr>
        <w:t>To increase the protection of</w:t>
      </w:r>
      <w:r w:rsidR="0013599E" w:rsidRPr="00F314C1">
        <w:rPr>
          <w:rFonts w:asciiTheme="minorHAnsi" w:hAnsiTheme="minorHAnsi"/>
          <w:sz w:val="24"/>
          <w:szCs w:val="24"/>
        </w:rPr>
        <w:t xml:space="preserve"> human health from</w:t>
      </w:r>
      <w:r w:rsidR="0013599E">
        <w:rPr>
          <w:rFonts w:asciiTheme="minorHAnsi" w:hAnsiTheme="minorHAnsi"/>
          <w:sz w:val="24"/>
          <w:szCs w:val="24"/>
        </w:rPr>
        <w:t xml:space="preserve"> exposure to certain</w:t>
      </w:r>
      <w:r w:rsidR="0013599E" w:rsidRPr="00F314C1">
        <w:rPr>
          <w:rFonts w:asciiTheme="minorHAnsi" w:hAnsiTheme="minorHAnsi"/>
          <w:sz w:val="24"/>
          <w:szCs w:val="24"/>
        </w:rPr>
        <w:t xml:space="preserve"> toxic contaminants, EPA has developed recommended HHC for </w:t>
      </w:r>
      <w:r w:rsidR="0013599E">
        <w:rPr>
          <w:rFonts w:asciiTheme="minorHAnsi" w:hAnsiTheme="minorHAnsi"/>
          <w:sz w:val="24"/>
          <w:szCs w:val="24"/>
        </w:rPr>
        <w:t>126</w:t>
      </w:r>
      <w:r w:rsidR="0013599E" w:rsidRPr="002A3195">
        <w:rPr>
          <w:rFonts w:asciiTheme="minorHAnsi" w:hAnsiTheme="minorHAnsi"/>
          <w:sz w:val="24"/>
          <w:szCs w:val="24"/>
        </w:rPr>
        <w:t xml:space="preserve"> </w:t>
      </w:r>
      <w:r w:rsidR="0013599E">
        <w:rPr>
          <w:rFonts w:asciiTheme="minorHAnsi" w:hAnsiTheme="minorHAnsi"/>
          <w:sz w:val="24"/>
          <w:szCs w:val="24"/>
        </w:rPr>
        <w:t>“priority” toxic pollutants (</w:t>
      </w:r>
      <w:r w:rsidR="0013599E" w:rsidRPr="00F314C1">
        <w:rPr>
          <w:rFonts w:asciiTheme="minorHAnsi" w:hAnsiTheme="minorHAnsi"/>
          <w:sz w:val="24"/>
          <w:szCs w:val="24"/>
        </w:rPr>
        <w:t>EPA, 2000a).</w:t>
      </w:r>
    </w:p>
    <w:p w14:paraId="5FFD5401" w14:textId="77777777" w:rsidR="00DB1878" w:rsidRDefault="00DB1878" w:rsidP="002C7DB6">
      <w:pPr>
        <w:jc w:val="both"/>
        <w:rPr>
          <w:rFonts w:asciiTheme="minorHAnsi" w:hAnsiTheme="minorHAnsi"/>
          <w:b/>
          <w:color w:val="0F243E" w:themeColor="text2" w:themeShade="80"/>
          <w:sz w:val="24"/>
          <w:szCs w:val="24"/>
          <w:u w:val="single"/>
        </w:rPr>
      </w:pPr>
    </w:p>
    <w:p w14:paraId="148CA09A" w14:textId="77777777" w:rsidR="00DB1878" w:rsidRDefault="00DB1878" w:rsidP="002C7DB6">
      <w:pPr>
        <w:jc w:val="both"/>
        <w:rPr>
          <w:rFonts w:asciiTheme="minorHAnsi" w:hAnsiTheme="minorHAnsi"/>
          <w:b/>
          <w:color w:val="0F243E" w:themeColor="text2" w:themeShade="80"/>
          <w:sz w:val="24"/>
          <w:szCs w:val="24"/>
          <w:u w:val="single"/>
        </w:rPr>
      </w:pPr>
    </w:p>
    <w:p w14:paraId="72FC39C7" w14:textId="641E3786" w:rsidR="0067148C" w:rsidRPr="007D79A8" w:rsidRDefault="0067148C" w:rsidP="002C7DB6">
      <w:pPr>
        <w:jc w:val="both"/>
        <w:rPr>
          <w:rFonts w:asciiTheme="minorHAnsi" w:hAnsiTheme="minorHAnsi"/>
          <w:b/>
          <w:sz w:val="24"/>
          <w:szCs w:val="24"/>
          <w:u w:val="single"/>
        </w:rPr>
      </w:pPr>
      <w:r w:rsidRPr="007D79A8">
        <w:rPr>
          <w:rFonts w:asciiTheme="minorHAnsi" w:hAnsiTheme="minorHAnsi"/>
          <w:b/>
          <w:color w:val="0F243E" w:themeColor="text2" w:themeShade="80"/>
          <w:sz w:val="24"/>
          <w:szCs w:val="24"/>
          <w:u w:val="single"/>
        </w:rPr>
        <w:lastRenderedPageBreak/>
        <w:t xml:space="preserve">EPA HHC </w:t>
      </w:r>
      <w:r w:rsidR="007E42DF" w:rsidRPr="007D79A8">
        <w:rPr>
          <w:rFonts w:asciiTheme="minorHAnsi" w:hAnsiTheme="minorHAnsi"/>
          <w:b/>
          <w:color w:val="0F243E" w:themeColor="text2" w:themeShade="80"/>
          <w:sz w:val="24"/>
          <w:szCs w:val="24"/>
          <w:u w:val="single"/>
        </w:rPr>
        <w:t>Equation</w:t>
      </w:r>
    </w:p>
    <w:p w14:paraId="514179C8" w14:textId="71F9FF8C" w:rsidR="0067148C" w:rsidRDefault="007E42DF" w:rsidP="002C7DB6">
      <w:pPr>
        <w:jc w:val="both"/>
        <w:rPr>
          <w:rFonts w:asciiTheme="minorHAnsi" w:hAnsiTheme="minorHAnsi"/>
          <w:sz w:val="24"/>
          <w:szCs w:val="24"/>
        </w:rPr>
      </w:pPr>
      <w:r>
        <w:rPr>
          <w:rFonts w:asciiTheme="minorHAnsi" w:hAnsiTheme="minorHAnsi"/>
          <w:sz w:val="24"/>
          <w:szCs w:val="24"/>
        </w:rPr>
        <w:t xml:space="preserve">In order for states and tribes to have a mechanism for deriving new or revising existing HHC that is scientifically valid and reflective of local conditions, EPA issued </w:t>
      </w:r>
      <w:r>
        <w:rPr>
          <w:rFonts w:asciiTheme="minorHAnsi" w:hAnsiTheme="minorHAnsi"/>
          <w:i/>
          <w:sz w:val="24"/>
          <w:szCs w:val="24"/>
        </w:rPr>
        <w:t>Methodology for Deriving Ambient Water Quality Criteria for the Protection of Human Health (2000)</w:t>
      </w:r>
      <w:r w:rsidR="00706C24">
        <w:rPr>
          <w:rFonts w:asciiTheme="minorHAnsi" w:hAnsiTheme="minorHAnsi"/>
          <w:sz w:val="24"/>
          <w:szCs w:val="24"/>
        </w:rPr>
        <w:t xml:space="preserve"> (hereafter the “methodology”). The methodology defines the equation used to derive HHC as well as default factors EPA intends states to use in evaluating consistence of State water quality standards with the requirements of the CWA (EPA</w:t>
      </w:r>
      <w:r w:rsidR="00DB1878">
        <w:rPr>
          <w:rFonts w:asciiTheme="minorHAnsi" w:hAnsiTheme="minorHAnsi"/>
          <w:sz w:val="24"/>
          <w:szCs w:val="24"/>
        </w:rPr>
        <w:t>,</w:t>
      </w:r>
      <w:r w:rsidR="00706C24">
        <w:rPr>
          <w:rFonts w:asciiTheme="minorHAnsi" w:hAnsiTheme="minorHAnsi"/>
          <w:sz w:val="24"/>
          <w:szCs w:val="24"/>
        </w:rPr>
        <w:t xml:space="preserve"> 2000a). Using a risk assessment approach, two specific end points are identified in the methodology; carcinogenic and non-carcinogenic effects. The Equation includes toxicological and exposure assessment parameters which are derived from scientific analysis, science policy, and risk management decisions. The generalized equations are: </w:t>
      </w:r>
    </w:p>
    <w:p w14:paraId="76450DEE" w14:textId="45E85B4C" w:rsidR="00F30FA9" w:rsidRPr="00706C24" w:rsidRDefault="00DB06A2" w:rsidP="002C7DB6">
      <w:pPr>
        <w:jc w:val="both"/>
        <w:rPr>
          <w:rFonts w:asciiTheme="minorHAnsi" w:hAnsiTheme="minorHAnsi"/>
          <w:sz w:val="24"/>
          <w:szCs w:val="24"/>
        </w:rPr>
      </w:pPr>
      <w:r>
        <w:rPr>
          <w:noProof/>
        </w:rPr>
        <mc:AlternateContent>
          <mc:Choice Requires="wps">
            <w:drawing>
              <wp:anchor distT="0" distB="0" distL="114300" distR="114300" simplePos="0" relativeHeight="251660288" behindDoc="0" locked="0" layoutInCell="1" allowOverlap="1" wp14:anchorId="0853BF81" wp14:editId="428DA777">
                <wp:simplePos x="0" y="0"/>
                <wp:positionH relativeFrom="column">
                  <wp:posOffset>3238500</wp:posOffset>
                </wp:positionH>
                <wp:positionV relativeFrom="paragraph">
                  <wp:posOffset>147320</wp:posOffset>
                </wp:positionV>
                <wp:extent cx="1476375" cy="4191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1476375" cy="419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829F70" w14:textId="1866C95E" w:rsidR="00D16DD4" w:rsidRDefault="00D16DD4">
                            <w:r>
                              <w:t xml:space="preserve">Images: EPA 2000a: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53BF81" id="Text Box 4" o:spid="_x0000_s1027" type="#_x0000_t202" style="position:absolute;left:0;text-align:left;margin-left:255pt;margin-top:11.6pt;width:116.25pt;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" fillcolor="white [3201]" strokeweight=".5pt">
                <v:textbox>
                  <w:txbxContent>
                    <w:p w14:paraId="3F829F70" w14:textId="1866C95E" w:rsidR="00D16DD4" w:rsidRDefault="00D16DD4">
                      <w:r>
                        <w:t xml:space="preserve">Images: EPA 2000a: </w:t>
                      </w:r>
                    </w:p>
                  </w:txbxContent>
                </v:textbox>
              </v:shape>
            </w:pict>
          </mc:Fallback>
        </mc:AlternateContent>
      </w:r>
    </w:p>
    <w:p w14:paraId="2DFFA1B7" w14:textId="5B903259" w:rsidR="00AB2F91" w:rsidRDefault="00AB2F91" w:rsidP="002C7DB6">
      <w:pPr>
        <w:jc w:val="both"/>
        <w:rPr>
          <w:rFonts w:asciiTheme="minorHAnsi" w:hAnsiTheme="minorHAnsi"/>
          <w:sz w:val="24"/>
          <w:szCs w:val="24"/>
        </w:rPr>
      </w:pPr>
      <w:r>
        <w:rPr>
          <w:noProof/>
        </w:rPr>
        <w:drawing>
          <wp:inline distT="0" distB="0" distL="0" distR="0" wp14:anchorId="3A699355" wp14:editId="04FED2CA">
            <wp:extent cx="5248213" cy="2286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48213" cy="2286000"/>
                    </a:xfrm>
                    <a:prstGeom prst="rect">
                      <a:avLst/>
                    </a:prstGeom>
                  </pic:spPr>
                </pic:pic>
              </a:graphicData>
            </a:graphic>
          </wp:inline>
        </w:drawing>
      </w:r>
    </w:p>
    <w:p w14:paraId="2F3FE646" w14:textId="4F3012D6" w:rsidR="00A82A77" w:rsidRDefault="00AB2F91" w:rsidP="002C7DB6">
      <w:pPr>
        <w:jc w:val="both"/>
        <w:rPr>
          <w:rFonts w:asciiTheme="minorHAnsi" w:hAnsiTheme="minorHAnsi"/>
          <w:sz w:val="24"/>
          <w:szCs w:val="24"/>
        </w:rPr>
      </w:pPr>
      <w:r>
        <w:rPr>
          <w:noProof/>
        </w:rPr>
        <w:lastRenderedPageBreak/>
        <w:drawing>
          <wp:inline distT="0" distB="0" distL="0" distR="0" wp14:anchorId="5AFB7B24" wp14:editId="018C59A8">
            <wp:extent cx="5578261" cy="530352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78261" cy="5303520"/>
                    </a:xfrm>
                    <a:prstGeom prst="rect">
                      <a:avLst/>
                    </a:prstGeom>
                  </pic:spPr>
                </pic:pic>
              </a:graphicData>
            </a:graphic>
          </wp:inline>
        </w:drawing>
      </w:r>
    </w:p>
    <w:p w14:paraId="4171E605" w14:textId="04C0A3F6" w:rsidR="00A82A77" w:rsidRPr="007D79A8" w:rsidRDefault="00A82A77" w:rsidP="002C7DB6">
      <w:pPr>
        <w:jc w:val="both"/>
        <w:rPr>
          <w:rFonts w:asciiTheme="minorHAnsi" w:hAnsiTheme="minorHAnsi"/>
          <w:b/>
          <w:color w:val="0F243E" w:themeColor="text2" w:themeShade="80"/>
          <w:sz w:val="24"/>
          <w:szCs w:val="24"/>
          <w:u w:val="single"/>
        </w:rPr>
      </w:pPr>
      <w:r w:rsidRPr="007D79A8">
        <w:rPr>
          <w:rFonts w:asciiTheme="minorHAnsi" w:hAnsiTheme="minorHAnsi"/>
          <w:b/>
          <w:color w:val="0F243E" w:themeColor="text2" w:themeShade="80"/>
          <w:sz w:val="24"/>
          <w:szCs w:val="24"/>
          <w:u w:val="single"/>
        </w:rPr>
        <w:t>Explanation of Terms</w:t>
      </w:r>
    </w:p>
    <w:p w14:paraId="49921872" w14:textId="402472D2" w:rsidR="00A82A77" w:rsidRDefault="00A82A77" w:rsidP="002C7DB6">
      <w:pPr>
        <w:jc w:val="both"/>
        <w:rPr>
          <w:rFonts w:asciiTheme="minorHAnsi" w:hAnsiTheme="minorHAnsi"/>
          <w:sz w:val="24"/>
          <w:szCs w:val="24"/>
        </w:rPr>
      </w:pPr>
      <w:r>
        <w:rPr>
          <w:rFonts w:asciiTheme="minorHAnsi" w:hAnsiTheme="minorHAnsi"/>
          <w:sz w:val="24"/>
          <w:szCs w:val="24"/>
        </w:rPr>
        <w:t xml:space="preserve">AWQC: In the context of this paper </w:t>
      </w:r>
      <w:r w:rsidRPr="00F30FA9">
        <w:rPr>
          <w:rFonts w:asciiTheme="minorHAnsi" w:hAnsiTheme="minorHAnsi"/>
          <w:i/>
          <w:sz w:val="24"/>
          <w:szCs w:val="24"/>
        </w:rPr>
        <w:t>Ambient Water Quality Criteria</w:t>
      </w:r>
      <w:r>
        <w:rPr>
          <w:rFonts w:asciiTheme="minorHAnsi" w:hAnsiTheme="minorHAnsi"/>
          <w:sz w:val="24"/>
          <w:szCs w:val="24"/>
        </w:rPr>
        <w:t xml:space="preserve"> is the EPA-equivalent to human health criteria.</w:t>
      </w:r>
    </w:p>
    <w:p w14:paraId="549DADE1" w14:textId="703D6943" w:rsidR="00A82A77" w:rsidRDefault="00A82A77" w:rsidP="002C7DB6">
      <w:pPr>
        <w:jc w:val="both"/>
        <w:rPr>
          <w:rFonts w:asciiTheme="minorHAnsi" w:hAnsiTheme="minorHAnsi"/>
          <w:sz w:val="24"/>
          <w:szCs w:val="24"/>
        </w:rPr>
      </w:pPr>
      <w:proofErr w:type="spellStart"/>
      <w:proofErr w:type="gramStart"/>
      <w:r>
        <w:rPr>
          <w:rFonts w:asciiTheme="minorHAnsi" w:hAnsiTheme="minorHAnsi"/>
          <w:sz w:val="24"/>
          <w:szCs w:val="24"/>
        </w:rPr>
        <w:t>RfD</w:t>
      </w:r>
      <w:proofErr w:type="spellEnd"/>
      <w:proofErr w:type="gramEnd"/>
      <w:r>
        <w:rPr>
          <w:rFonts w:asciiTheme="minorHAnsi" w:hAnsiTheme="minorHAnsi"/>
          <w:sz w:val="24"/>
          <w:szCs w:val="24"/>
        </w:rPr>
        <w:t xml:space="preserve">: A reference dose describes an estimate, with uncertainty spanning perhaps an order of magnitude, of a daily oral exposure to humans (including sensitive subgroups) that is likely not to result in increased risk of harmful effects. This factor only applies to non-carcinogens. </w:t>
      </w:r>
    </w:p>
    <w:p w14:paraId="7EFC1B3C" w14:textId="48C7E4C0" w:rsidR="00A82A77" w:rsidRDefault="00A82A77" w:rsidP="002C7DB6">
      <w:pPr>
        <w:jc w:val="both"/>
        <w:rPr>
          <w:rFonts w:asciiTheme="minorHAnsi" w:hAnsiTheme="minorHAnsi"/>
          <w:sz w:val="24"/>
          <w:szCs w:val="24"/>
        </w:rPr>
      </w:pPr>
      <w:r>
        <w:rPr>
          <w:rFonts w:asciiTheme="minorHAnsi" w:hAnsiTheme="minorHAnsi"/>
          <w:sz w:val="24"/>
          <w:szCs w:val="24"/>
        </w:rPr>
        <w:t xml:space="preserve">POD: </w:t>
      </w:r>
      <w:r w:rsidR="003E4C24">
        <w:rPr>
          <w:rFonts w:asciiTheme="minorHAnsi" w:hAnsiTheme="minorHAnsi"/>
          <w:sz w:val="24"/>
          <w:szCs w:val="24"/>
        </w:rPr>
        <w:t>The Point of D</w:t>
      </w:r>
      <w:r>
        <w:rPr>
          <w:rFonts w:asciiTheme="minorHAnsi" w:hAnsiTheme="minorHAnsi"/>
          <w:sz w:val="24"/>
          <w:szCs w:val="24"/>
        </w:rPr>
        <w:t>eparture</w:t>
      </w:r>
      <w:r w:rsidR="00F9282A">
        <w:rPr>
          <w:rFonts w:asciiTheme="minorHAnsi" w:hAnsiTheme="minorHAnsi"/>
          <w:sz w:val="24"/>
          <w:szCs w:val="24"/>
        </w:rPr>
        <w:t xml:space="preserve"> is a risk assessment modeling term that</w:t>
      </w:r>
      <w:r>
        <w:rPr>
          <w:rFonts w:asciiTheme="minorHAnsi" w:hAnsiTheme="minorHAnsi"/>
          <w:sz w:val="24"/>
          <w:szCs w:val="24"/>
        </w:rPr>
        <w:t xml:space="preserve"> describes </w:t>
      </w:r>
      <w:r w:rsidR="00F9282A">
        <w:rPr>
          <w:rFonts w:asciiTheme="minorHAnsi" w:hAnsiTheme="minorHAnsi"/>
          <w:sz w:val="24"/>
          <w:szCs w:val="24"/>
        </w:rPr>
        <w:t xml:space="preserve">the lowest reliable part of a dose-response curve </w:t>
      </w:r>
      <w:r w:rsidR="00C16130">
        <w:rPr>
          <w:rFonts w:asciiTheme="minorHAnsi" w:hAnsiTheme="minorHAnsi"/>
          <w:sz w:val="24"/>
          <w:szCs w:val="24"/>
        </w:rPr>
        <w:t xml:space="preserve">in which an effect has been observed in toxicological studies. </w:t>
      </w:r>
    </w:p>
    <w:p w14:paraId="0355303B" w14:textId="4ED5F0D1" w:rsidR="00F9282A" w:rsidRDefault="00F9282A" w:rsidP="002C7DB6">
      <w:pPr>
        <w:jc w:val="both"/>
        <w:rPr>
          <w:rFonts w:asciiTheme="minorHAnsi" w:hAnsiTheme="minorHAnsi"/>
          <w:sz w:val="24"/>
          <w:szCs w:val="24"/>
        </w:rPr>
      </w:pPr>
      <w:r>
        <w:rPr>
          <w:rFonts w:asciiTheme="minorHAnsi" w:hAnsiTheme="minorHAnsi"/>
          <w:sz w:val="24"/>
          <w:szCs w:val="24"/>
        </w:rPr>
        <w:t xml:space="preserve">UF: </w:t>
      </w:r>
      <w:r w:rsidR="003E4C24">
        <w:rPr>
          <w:rFonts w:asciiTheme="minorHAnsi" w:hAnsiTheme="minorHAnsi"/>
          <w:sz w:val="24"/>
          <w:szCs w:val="24"/>
        </w:rPr>
        <w:t xml:space="preserve">The </w:t>
      </w:r>
      <w:proofErr w:type="spellStart"/>
      <w:r>
        <w:rPr>
          <w:rFonts w:asciiTheme="minorHAnsi" w:hAnsiTheme="minorHAnsi"/>
          <w:sz w:val="24"/>
          <w:szCs w:val="24"/>
        </w:rPr>
        <w:t>Uncertainity</w:t>
      </w:r>
      <w:proofErr w:type="spellEnd"/>
      <w:r>
        <w:rPr>
          <w:rFonts w:asciiTheme="minorHAnsi" w:hAnsiTheme="minorHAnsi"/>
          <w:sz w:val="24"/>
          <w:szCs w:val="24"/>
        </w:rPr>
        <w:t xml:space="preserve"> </w:t>
      </w:r>
      <w:r w:rsidR="003E4C24">
        <w:rPr>
          <w:rFonts w:asciiTheme="minorHAnsi" w:hAnsiTheme="minorHAnsi"/>
          <w:sz w:val="24"/>
          <w:szCs w:val="24"/>
        </w:rPr>
        <w:t>F</w:t>
      </w:r>
      <w:r>
        <w:rPr>
          <w:rFonts w:asciiTheme="minorHAnsi" w:hAnsiTheme="minorHAnsi"/>
          <w:sz w:val="24"/>
          <w:szCs w:val="24"/>
        </w:rPr>
        <w:t xml:space="preserve">actor </w:t>
      </w:r>
      <w:r w:rsidR="00C0790A">
        <w:rPr>
          <w:rFonts w:asciiTheme="minorHAnsi" w:hAnsiTheme="minorHAnsi"/>
          <w:sz w:val="24"/>
          <w:szCs w:val="24"/>
        </w:rPr>
        <w:t>describes the margin a POD may need to be adjusted to account for such things as the nature and extent of human variability and sensitivity</w:t>
      </w:r>
      <w:r w:rsidR="003E4C24">
        <w:rPr>
          <w:rFonts w:asciiTheme="minorHAnsi" w:hAnsiTheme="minorHAnsi"/>
          <w:sz w:val="24"/>
          <w:szCs w:val="24"/>
        </w:rPr>
        <w:t xml:space="preserve"> to that of experimental animals</w:t>
      </w:r>
      <w:r w:rsidR="00C0790A">
        <w:rPr>
          <w:rFonts w:asciiTheme="minorHAnsi" w:hAnsiTheme="minorHAnsi"/>
          <w:sz w:val="24"/>
          <w:szCs w:val="24"/>
        </w:rPr>
        <w:t xml:space="preserve">. </w:t>
      </w:r>
    </w:p>
    <w:p w14:paraId="00845EEA" w14:textId="1FEFF72B" w:rsidR="003E4C24" w:rsidRDefault="003E4C24" w:rsidP="002C7DB6">
      <w:pPr>
        <w:jc w:val="both"/>
        <w:rPr>
          <w:rFonts w:asciiTheme="minorHAnsi" w:hAnsiTheme="minorHAnsi"/>
          <w:sz w:val="24"/>
          <w:szCs w:val="24"/>
        </w:rPr>
      </w:pPr>
      <w:r>
        <w:rPr>
          <w:rFonts w:asciiTheme="minorHAnsi" w:hAnsiTheme="minorHAnsi"/>
          <w:sz w:val="24"/>
          <w:szCs w:val="24"/>
        </w:rPr>
        <w:lastRenderedPageBreak/>
        <w:t xml:space="preserve">RSD: The Risk Specific Dose (mg/kg-day) describes the amount of a carcinogenic substance a person can be exposed to before an effect has been observed. </w:t>
      </w:r>
    </w:p>
    <w:p w14:paraId="53E9F095" w14:textId="55476749" w:rsidR="003E4C24" w:rsidRDefault="003E4C24" w:rsidP="002C7DB6">
      <w:pPr>
        <w:jc w:val="both"/>
        <w:rPr>
          <w:rFonts w:asciiTheme="minorHAnsi" w:hAnsiTheme="minorHAnsi"/>
          <w:sz w:val="24"/>
          <w:szCs w:val="24"/>
        </w:rPr>
      </w:pPr>
      <w:r>
        <w:rPr>
          <w:rFonts w:asciiTheme="minorHAnsi" w:hAnsiTheme="minorHAnsi"/>
          <w:sz w:val="24"/>
          <w:szCs w:val="24"/>
        </w:rPr>
        <w:t>RSC: The Relative Source Contribution estimates the total amount of exposure from water and fish consumption to that of other sources (</w:t>
      </w:r>
      <w:proofErr w:type="spellStart"/>
      <w:r>
        <w:rPr>
          <w:rFonts w:asciiTheme="minorHAnsi" w:hAnsiTheme="minorHAnsi"/>
          <w:sz w:val="24"/>
          <w:szCs w:val="24"/>
        </w:rPr>
        <w:t>e.g</w:t>
      </w:r>
      <w:proofErr w:type="spellEnd"/>
      <w:r>
        <w:rPr>
          <w:rFonts w:asciiTheme="minorHAnsi" w:hAnsiTheme="minorHAnsi"/>
          <w:sz w:val="24"/>
          <w:szCs w:val="24"/>
        </w:rPr>
        <w:t xml:space="preserve">, diet, air, drinking water). </w:t>
      </w:r>
    </w:p>
    <w:p w14:paraId="2F524791" w14:textId="3911ED23" w:rsidR="003E4C24" w:rsidRDefault="003E4C24" w:rsidP="002C7DB6">
      <w:pPr>
        <w:jc w:val="both"/>
        <w:rPr>
          <w:rFonts w:asciiTheme="minorHAnsi" w:hAnsiTheme="minorHAnsi"/>
          <w:sz w:val="24"/>
          <w:szCs w:val="24"/>
        </w:rPr>
      </w:pPr>
      <w:r>
        <w:rPr>
          <w:rFonts w:asciiTheme="minorHAnsi" w:hAnsiTheme="minorHAnsi"/>
          <w:sz w:val="24"/>
          <w:szCs w:val="24"/>
        </w:rPr>
        <w:t xml:space="preserve">BW: The Body weight value is based on an EPA-recommended value for adults of 80 kg derived from national population statistics. </w:t>
      </w:r>
    </w:p>
    <w:p w14:paraId="68BC47AB" w14:textId="10416D7C" w:rsidR="003E4C24" w:rsidRDefault="003E4C24" w:rsidP="002C7DB6">
      <w:pPr>
        <w:jc w:val="both"/>
        <w:rPr>
          <w:rFonts w:asciiTheme="minorHAnsi" w:hAnsiTheme="minorHAnsi"/>
          <w:sz w:val="24"/>
          <w:szCs w:val="24"/>
        </w:rPr>
      </w:pPr>
      <w:r>
        <w:rPr>
          <w:rFonts w:asciiTheme="minorHAnsi" w:hAnsiTheme="minorHAnsi"/>
          <w:sz w:val="24"/>
          <w:szCs w:val="24"/>
        </w:rPr>
        <w:t xml:space="preserve">DW: The Drinking Water value is based on all sources of water that make up part of the human diet in a day. The 2015 EPA-recommended value is 2.4 L/day. </w:t>
      </w:r>
    </w:p>
    <w:p w14:paraId="540086F7" w14:textId="4912F0D5" w:rsidR="000E3271" w:rsidRDefault="000E3271" w:rsidP="002C7DB6">
      <w:pPr>
        <w:jc w:val="both"/>
        <w:rPr>
          <w:rFonts w:asciiTheme="minorHAnsi" w:hAnsiTheme="minorHAnsi"/>
          <w:sz w:val="24"/>
          <w:szCs w:val="24"/>
        </w:rPr>
      </w:pPr>
      <w:r>
        <w:rPr>
          <w:rFonts w:asciiTheme="minorHAnsi" w:hAnsiTheme="minorHAnsi"/>
          <w:sz w:val="24"/>
          <w:szCs w:val="24"/>
        </w:rPr>
        <w:t xml:space="preserve">FI: The fish intake (a.k.a. fish consumption rate) reflects the amount of aquatic life a person consumes on an annual basis. This can be </w:t>
      </w:r>
      <w:r w:rsidR="0054301E">
        <w:rPr>
          <w:rFonts w:asciiTheme="minorHAnsi" w:hAnsiTheme="minorHAnsi"/>
          <w:sz w:val="24"/>
          <w:szCs w:val="24"/>
        </w:rPr>
        <w:t xml:space="preserve">further </w:t>
      </w:r>
      <w:proofErr w:type="spellStart"/>
      <w:r>
        <w:rPr>
          <w:rFonts w:asciiTheme="minorHAnsi" w:hAnsiTheme="minorHAnsi"/>
          <w:sz w:val="24"/>
          <w:szCs w:val="24"/>
        </w:rPr>
        <w:t>disemminated</w:t>
      </w:r>
      <w:proofErr w:type="spellEnd"/>
      <w:r>
        <w:rPr>
          <w:rFonts w:asciiTheme="minorHAnsi" w:hAnsiTheme="minorHAnsi"/>
          <w:sz w:val="24"/>
          <w:szCs w:val="24"/>
        </w:rPr>
        <w:t xml:space="preserve"> </w:t>
      </w:r>
      <w:r w:rsidR="0054301E">
        <w:rPr>
          <w:rFonts w:asciiTheme="minorHAnsi" w:hAnsiTheme="minorHAnsi"/>
          <w:sz w:val="24"/>
          <w:szCs w:val="24"/>
        </w:rPr>
        <w:t xml:space="preserve">according to trophic level (status in the food web (i.e. primary versus secondary consumer) and is highly dependent on the methodology used to derive a value for a particular population. </w:t>
      </w:r>
    </w:p>
    <w:p w14:paraId="106B2274" w14:textId="5095E852" w:rsidR="0054301E" w:rsidRPr="00F30FA9" w:rsidRDefault="0054301E" w:rsidP="0054301E">
      <w:pPr>
        <w:jc w:val="both"/>
        <w:rPr>
          <w:rFonts w:asciiTheme="minorHAnsi" w:hAnsiTheme="minorHAnsi"/>
          <w:sz w:val="24"/>
          <w:szCs w:val="24"/>
        </w:rPr>
      </w:pPr>
      <w:r>
        <w:rPr>
          <w:rFonts w:asciiTheme="minorHAnsi" w:hAnsiTheme="minorHAnsi"/>
          <w:sz w:val="24"/>
          <w:szCs w:val="24"/>
        </w:rPr>
        <w:t>BAF: The Bioaccumulation Factor accounts for the amount of exposure aquatic life experience from all from of media (water, diet, sediment)</w:t>
      </w:r>
      <w:r w:rsidRPr="00F30FA9">
        <w:rPr>
          <w:rFonts w:asciiTheme="minorHAnsi" w:hAnsiTheme="minorHAnsi"/>
          <w:iCs/>
          <w:sz w:val="24"/>
          <w:szCs w:val="24"/>
        </w:rPr>
        <w:t xml:space="preserve"> and elimination processes. </w:t>
      </w:r>
    </w:p>
    <w:p w14:paraId="14D13914" w14:textId="3B706EC3" w:rsidR="00AB2F91" w:rsidRDefault="00AB2F91" w:rsidP="002C7DB6">
      <w:pPr>
        <w:jc w:val="both"/>
        <w:rPr>
          <w:rFonts w:asciiTheme="minorHAnsi" w:hAnsiTheme="minorHAnsi"/>
          <w:sz w:val="24"/>
          <w:szCs w:val="24"/>
        </w:rPr>
      </w:pPr>
      <w:r>
        <w:rPr>
          <w:rFonts w:asciiTheme="minorHAnsi" w:hAnsiTheme="minorHAnsi"/>
          <w:sz w:val="24"/>
          <w:szCs w:val="24"/>
        </w:rPr>
        <w:t xml:space="preserve">The </w:t>
      </w:r>
      <w:r w:rsidR="0054301E">
        <w:rPr>
          <w:rFonts w:asciiTheme="minorHAnsi" w:hAnsiTheme="minorHAnsi"/>
          <w:sz w:val="24"/>
          <w:szCs w:val="24"/>
        </w:rPr>
        <w:t xml:space="preserve">HHC </w:t>
      </w:r>
      <w:r>
        <w:rPr>
          <w:rFonts w:asciiTheme="minorHAnsi" w:hAnsiTheme="minorHAnsi"/>
          <w:sz w:val="24"/>
          <w:szCs w:val="24"/>
        </w:rPr>
        <w:t>equation</w:t>
      </w:r>
      <w:r w:rsidR="0054301E">
        <w:rPr>
          <w:rFonts w:asciiTheme="minorHAnsi" w:hAnsiTheme="minorHAnsi"/>
          <w:sz w:val="24"/>
          <w:szCs w:val="24"/>
        </w:rPr>
        <w:t>(s)</w:t>
      </w:r>
      <w:r>
        <w:rPr>
          <w:rFonts w:asciiTheme="minorHAnsi" w:hAnsiTheme="minorHAnsi"/>
          <w:sz w:val="24"/>
          <w:szCs w:val="24"/>
        </w:rPr>
        <w:t xml:space="preserve"> and resulting criteria are for the protection of human health and designed to minimize the risk of adverse effects occurring in humans from chronic (lifetime) exposure to </w:t>
      </w:r>
      <w:proofErr w:type="spellStart"/>
      <w:r>
        <w:rPr>
          <w:rFonts w:asciiTheme="minorHAnsi" w:hAnsiTheme="minorHAnsi"/>
          <w:sz w:val="24"/>
          <w:szCs w:val="24"/>
        </w:rPr>
        <w:t>substenaces</w:t>
      </w:r>
      <w:proofErr w:type="spellEnd"/>
      <w:r>
        <w:rPr>
          <w:rFonts w:asciiTheme="minorHAnsi" w:hAnsiTheme="minorHAnsi"/>
          <w:sz w:val="24"/>
          <w:szCs w:val="24"/>
        </w:rPr>
        <w:t xml:space="preserve"> </w:t>
      </w:r>
      <w:proofErr w:type="spellStart"/>
      <w:r>
        <w:rPr>
          <w:rFonts w:asciiTheme="minorHAnsi" w:hAnsiTheme="minorHAnsi"/>
          <w:sz w:val="24"/>
          <w:szCs w:val="24"/>
        </w:rPr>
        <w:t>throught</w:t>
      </w:r>
      <w:proofErr w:type="spellEnd"/>
      <w:r>
        <w:rPr>
          <w:rFonts w:asciiTheme="minorHAnsi" w:hAnsiTheme="minorHAnsi"/>
          <w:sz w:val="24"/>
          <w:szCs w:val="24"/>
        </w:rPr>
        <w:t xml:space="preserve"> </w:t>
      </w:r>
      <w:proofErr w:type="gramStart"/>
      <w:r>
        <w:rPr>
          <w:rFonts w:asciiTheme="minorHAnsi" w:hAnsiTheme="minorHAnsi"/>
          <w:sz w:val="24"/>
          <w:szCs w:val="24"/>
        </w:rPr>
        <w:t>he</w:t>
      </w:r>
      <w:proofErr w:type="gramEnd"/>
      <w:r>
        <w:rPr>
          <w:rFonts w:asciiTheme="minorHAnsi" w:hAnsiTheme="minorHAnsi"/>
          <w:sz w:val="24"/>
          <w:szCs w:val="24"/>
        </w:rPr>
        <w:t xml:space="preserve"> ingestion of surface drinking water (untreated) and consumption of fish obtained in surface waters. The criteria should be protective of both general as well as subpopulations that may have higher rates of water or fish consumption. Of the various exposure pathways addressed in the equation, fish consumption rates may be the single factor that </w:t>
      </w:r>
      <w:r w:rsidR="00CA6F46">
        <w:rPr>
          <w:rFonts w:asciiTheme="minorHAnsi" w:hAnsiTheme="minorHAnsi"/>
          <w:sz w:val="24"/>
          <w:szCs w:val="24"/>
        </w:rPr>
        <w:t xml:space="preserve">may experience the most variability due to a myriad of reasons including geographic availability, economic </w:t>
      </w:r>
      <w:proofErr w:type="spellStart"/>
      <w:r w:rsidR="00CA6F46">
        <w:rPr>
          <w:rFonts w:asciiTheme="minorHAnsi" w:hAnsiTheme="minorHAnsi"/>
          <w:sz w:val="24"/>
          <w:szCs w:val="24"/>
        </w:rPr>
        <w:t>availablilty</w:t>
      </w:r>
      <w:proofErr w:type="spellEnd"/>
      <w:r w:rsidR="00CA6F46">
        <w:rPr>
          <w:rFonts w:asciiTheme="minorHAnsi" w:hAnsiTheme="minorHAnsi"/>
          <w:sz w:val="24"/>
          <w:szCs w:val="24"/>
        </w:rPr>
        <w:t xml:space="preserve">, cultural influence, and personal preferences. </w:t>
      </w:r>
    </w:p>
    <w:p w14:paraId="64987F4D" w14:textId="42EBC844" w:rsidR="00773293" w:rsidRPr="00F314C1" w:rsidRDefault="00645FBB" w:rsidP="002C7DB6">
      <w:pPr>
        <w:jc w:val="both"/>
        <w:rPr>
          <w:rFonts w:asciiTheme="minorHAnsi" w:hAnsiTheme="minorHAnsi"/>
          <w:sz w:val="24"/>
          <w:szCs w:val="24"/>
        </w:rPr>
      </w:pPr>
      <w:r w:rsidRPr="00F314C1">
        <w:rPr>
          <w:rFonts w:asciiTheme="minorHAnsi" w:hAnsiTheme="minorHAnsi"/>
          <w:sz w:val="24"/>
          <w:szCs w:val="24"/>
        </w:rPr>
        <w:t xml:space="preserve">The following </w:t>
      </w:r>
      <w:r w:rsidR="00821F98" w:rsidRPr="00F314C1">
        <w:rPr>
          <w:rFonts w:asciiTheme="minorHAnsi" w:hAnsiTheme="minorHAnsi"/>
          <w:sz w:val="24"/>
          <w:szCs w:val="24"/>
        </w:rPr>
        <w:t>sub</w:t>
      </w:r>
      <w:r w:rsidRPr="00F314C1">
        <w:rPr>
          <w:rFonts w:asciiTheme="minorHAnsi" w:hAnsiTheme="minorHAnsi"/>
          <w:sz w:val="24"/>
          <w:szCs w:val="24"/>
        </w:rPr>
        <w:t xml:space="preserve">section </w:t>
      </w:r>
      <w:r w:rsidR="008726F1" w:rsidRPr="00F314C1">
        <w:rPr>
          <w:rFonts w:asciiTheme="minorHAnsi" w:hAnsiTheme="minorHAnsi"/>
          <w:sz w:val="24"/>
          <w:szCs w:val="24"/>
        </w:rPr>
        <w:t xml:space="preserve">summarizes </w:t>
      </w:r>
      <w:r w:rsidRPr="00F314C1">
        <w:rPr>
          <w:rFonts w:asciiTheme="minorHAnsi" w:hAnsiTheme="minorHAnsi"/>
          <w:sz w:val="24"/>
          <w:szCs w:val="24"/>
        </w:rPr>
        <w:t>the evolution of EPA’s recommended FCR since it was first issued in 1992, as well as EPA</w:t>
      </w:r>
      <w:r w:rsidR="008726F1" w:rsidRPr="00F314C1">
        <w:rPr>
          <w:rFonts w:asciiTheme="minorHAnsi" w:hAnsiTheme="minorHAnsi"/>
          <w:sz w:val="24"/>
          <w:szCs w:val="24"/>
        </w:rPr>
        <w:t>’s</w:t>
      </w:r>
      <w:r w:rsidRPr="00F314C1">
        <w:rPr>
          <w:rFonts w:asciiTheme="minorHAnsi" w:hAnsiTheme="minorHAnsi"/>
          <w:sz w:val="24"/>
          <w:szCs w:val="24"/>
        </w:rPr>
        <w:t xml:space="preserve"> recommend</w:t>
      </w:r>
      <w:r w:rsidR="008726F1" w:rsidRPr="00F314C1">
        <w:rPr>
          <w:rFonts w:asciiTheme="minorHAnsi" w:hAnsiTheme="minorHAnsi"/>
          <w:sz w:val="24"/>
          <w:szCs w:val="24"/>
        </w:rPr>
        <w:t xml:space="preserve">ations for how </w:t>
      </w:r>
      <w:r w:rsidRPr="00F314C1">
        <w:rPr>
          <w:rFonts w:asciiTheme="minorHAnsi" w:hAnsiTheme="minorHAnsi"/>
          <w:sz w:val="24"/>
          <w:szCs w:val="24"/>
        </w:rPr>
        <w:t xml:space="preserve">states </w:t>
      </w:r>
      <w:r w:rsidR="000D6039" w:rsidRPr="00F314C1">
        <w:rPr>
          <w:rFonts w:asciiTheme="minorHAnsi" w:hAnsiTheme="minorHAnsi"/>
          <w:sz w:val="24"/>
          <w:szCs w:val="24"/>
        </w:rPr>
        <w:t>should develop</w:t>
      </w:r>
      <w:r w:rsidRPr="00F314C1">
        <w:rPr>
          <w:rFonts w:asciiTheme="minorHAnsi" w:hAnsiTheme="minorHAnsi"/>
          <w:sz w:val="24"/>
          <w:szCs w:val="24"/>
        </w:rPr>
        <w:t xml:space="preserve"> their own FCR when deriving </w:t>
      </w:r>
      <w:r w:rsidR="00D31726">
        <w:rPr>
          <w:rFonts w:asciiTheme="minorHAnsi" w:hAnsiTheme="minorHAnsi"/>
          <w:sz w:val="24"/>
          <w:szCs w:val="24"/>
        </w:rPr>
        <w:t>HHC</w:t>
      </w:r>
      <w:r w:rsidRPr="00F314C1">
        <w:rPr>
          <w:rFonts w:asciiTheme="minorHAnsi" w:hAnsiTheme="minorHAnsi"/>
          <w:sz w:val="24"/>
          <w:szCs w:val="24"/>
        </w:rPr>
        <w:t xml:space="preserve">. The </w:t>
      </w:r>
      <w:r w:rsidRPr="00F314C1">
        <w:rPr>
          <w:rFonts w:asciiTheme="minorHAnsi" w:hAnsiTheme="minorHAnsi"/>
          <w:i/>
          <w:sz w:val="24"/>
          <w:szCs w:val="24"/>
        </w:rPr>
        <w:t>EPA Region 10</w:t>
      </w:r>
      <w:r w:rsidRPr="00F314C1">
        <w:rPr>
          <w:rFonts w:asciiTheme="minorHAnsi" w:hAnsiTheme="minorHAnsi"/>
          <w:sz w:val="24"/>
          <w:szCs w:val="24"/>
        </w:rPr>
        <w:t xml:space="preserve"> </w:t>
      </w:r>
      <w:r w:rsidR="00706B1F" w:rsidRPr="00F314C1">
        <w:rPr>
          <w:rFonts w:asciiTheme="minorHAnsi" w:hAnsiTheme="minorHAnsi"/>
          <w:sz w:val="24"/>
          <w:szCs w:val="24"/>
        </w:rPr>
        <w:t xml:space="preserve">subsection </w:t>
      </w:r>
      <w:r w:rsidRPr="00F314C1">
        <w:rPr>
          <w:rFonts w:asciiTheme="minorHAnsi" w:hAnsiTheme="minorHAnsi"/>
          <w:sz w:val="24"/>
          <w:szCs w:val="24"/>
        </w:rPr>
        <w:t xml:space="preserve">describes recent actions in EPA’s Region 10 (which includes Alaska) to update and revise the FCRs when deriving </w:t>
      </w:r>
      <w:r w:rsidR="000D62A9" w:rsidRPr="00F314C1">
        <w:rPr>
          <w:rFonts w:asciiTheme="minorHAnsi" w:hAnsiTheme="minorHAnsi"/>
          <w:sz w:val="24"/>
          <w:szCs w:val="24"/>
        </w:rPr>
        <w:t>HHC</w:t>
      </w:r>
      <w:r w:rsidRPr="00F314C1">
        <w:rPr>
          <w:rFonts w:asciiTheme="minorHAnsi" w:hAnsiTheme="minorHAnsi"/>
          <w:sz w:val="24"/>
          <w:szCs w:val="24"/>
        </w:rPr>
        <w:t xml:space="preserve">. The </w:t>
      </w:r>
      <w:r w:rsidRPr="00F314C1">
        <w:rPr>
          <w:rFonts w:asciiTheme="minorHAnsi" w:hAnsiTheme="minorHAnsi"/>
          <w:i/>
          <w:sz w:val="24"/>
          <w:szCs w:val="24"/>
        </w:rPr>
        <w:t>Alaska</w:t>
      </w:r>
      <w:r w:rsidRPr="00F314C1">
        <w:rPr>
          <w:rFonts w:asciiTheme="minorHAnsi" w:hAnsiTheme="minorHAnsi"/>
          <w:sz w:val="24"/>
          <w:szCs w:val="24"/>
        </w:rPr>
        <w:t xml:space="preserve"> </w:t>
      </w:r>
      <w:r w:rsidR="00706B1F" w:rsidRPr="00F314C1">
        <w:rPr>
          <w:rFonts w:asciiTheme="minorHAnsi" w:hAnsiTheme="minorHAnsi"/>
          <w:sz w:val="24"/>
          <w:szCs w:val="24"/>
        </w:rPr>
        <w:t xml:space="preserve">subsection </w:t>
      </w:r>
      <w:r w:rsidRPr="00F314C1">
        <w:rPr>
          <w:rFonts w:asciiTheme="minorHAnsi" w:hAnsiTheme="minorHAnsi"/>
          <w:sz w:val="24"/>
          <w:szCs w:val="24"/>
        </w:rPr>
        <w:t xml:space="preserve">provides </w:t>
      </w:r>
      <w:r w:rsidR="00706B1F" w:rsidRPr="00F314C1">
        <w:rPr>
          <w:rFonts w:asciiTheme="minorHAnsi" w:hAnsiTheme="minorHAnsi"/>
          <w:sz w:val="24"/>
          <w:szCs w:val="24"/>
        </w:rPr>
        <w:t>a summary of</w:t>
      </w:r>
      <w:r w:rsidRPr="00F314C1">
        <w:rPr>
          <w:rFonts w:asciiTheme="minorHAnsi" w:hAnsiTheme="minorHAnsi"/>
          <w:sz w:val="24"/>
          <w:szCs w:val="24"/>
        </w:rPr>
        <w:t xml:space="preserve"> fish consumption trends in Alaska. </w:t>
      </w:r>
    </w:p>
    <w:p w14:paraId="20F5D160" w14:textId="0A5029CA" w:rsidR="0099684C" w:rsidRPr="00F314C1" w:rsidRDefault="00645FBB" w:rsidP="002C7DB6">
      <w:pPr>
        <w:pStyle w:val="Heading1"/>
        <w:jc w:val="both"/>
        <w:rPr>
          <w:sz w:val="24"/>
          <w:szCs w:val="24"/>
        </w:rPr>
      </w:pPr>
      <w:bookmarkStart w:id="9" w:name="_Toc391035968"/>
      <w:r w:rsidRPr="00F314C1">
        <w:rPr>
          <w:sz w:val="24"/>
          <w:szCs w:val="24"/>
        </w:rPr>
        <w:t>EPA’s Default F</w:t>
      </w:r>
      <w:r w:rsidR="007F6D08" w:rsidRPr="00F314C1">
        <w:rPr>
          <w:sz w:val="24"/>
          <w:szCs w:val="24"/>
        </w:rPr>
        <w:t>CR</w:t>
      </w:r>
      <w:r w:rsidRPr="00F314C1">
        <w:rPr>
          <w:sz w:val="24"/>
          <w:szCs w:val="24"/>
        </w:rPr>
        <w:t xml:space="preserve"> and </w:t>
      </w:r>
      <w:r w:rsidR="00706B1F" w:rsidRPr="00F314C1">
        <w:rPr>
          <w:sz w:val="24"/>
          <w:szCs w:val="24"/>
        </w:rPr>
        <w:t>U</w:t>
      </w:r>
      <w:r w:rsidRPr="00F314C1">
        <w:rPr>
          <w:sz w:val="24"/>
          <w:szCs w:val="24"/>
        </w:rPr>
        <w:t xml:space="preserve">se in </w:t>
      </w:r>
      <w:r w:rsidR="00706B1F" w:rsidRPr="00F314C1">
        <w:rPr>
          <w:sz w:val="24"/>
          <w:szCs w:val="24"/>
        </w:rPr>
        <w:t xml:space="preserve">Deriving </w:t>
      </w:r>
      <w:r w:rsidRPr="00F314C1">
        <w:rPr>
          <w:sz w:val="24"/>
          <w:szCs w:val="24"/>
        </w:rPr>
        <w:t>W</w:t>
      </w:r>
      <w:r w:rsidR="00706B1F" w:rsidRPr="00F314C1">
        <w:rPr>
          <w:sz w:val="24"/>
          <w:szCs w:val="24"/>
        </w:rPr>
        <w:t xml:space="preserve">ater </w:t>
      </w:r>
      <w:r w:rsidRPr="00F314C1">
        <w:rPr>
          <w:sz w:val="24"/>
          <w:szCs w:val="24"/>
        </w:rPr>
        <w:t>Q</w:t>
      </w:r>
      <w:r w:rsidR="00706B1F" w:rsidRPr="00F314C1">
        <w:rPr>
          <w:sz w:val="24"/>
          <w:szCs w:val="24"/>
        </w:rPr>
        <w:t xml:space="preserve">uality </w:t>
      </w:r>
      <w:r w:rsidRPr="00F314C1">
        <w:rPr>
          <w:sz w:val="24"/>
          <w:szCs w:val="24"/>
        </w:rPr>
        <w:t>C</w:t>
      </w:r>
      <w:r w:rsidR="00706B1F" w:rsidRPr="00F314C1">
        <w:rPr>
          <w:sz w:val="24"/>
          <w:szCs w:val="24"/>
        </w:rPr>
        <w:t>riteria</w:t>
      </w:r>
      <w:bookmarkEnd w:id="9"/>
    </w:p>
    <w:p w14:paraId="562E0BA2" w14:textId="61CA2036" w:rsidR="00645FBB" w:rsidRPr="00F314C1" w:rsidRDefault="000D6039" w:rsidP="002C7DB6">
      <w:pPr>
        <w:spacing w:after="0"/>
        <w:jc w:val="both"/>
        <w:rPr>
          <w:rFonts w:asciiTheme="minorHAnsi" w:hAnsiTheme="minorHAnsi"/>
          <w:sz w:val="24"/>
          <w:szCs w:val="24"/>
        </w:rPr>
      </w:pPr>
      <w:r w:rsidRPr="00F314C1">
        <w:rPr>
          <w:rFonts w:asciiTheme="minorHAnsi" w:hAnsiTheme="minorHAnsi"/>
          <w:sz w:val="24"/>
          <w:szCs w:val="24"/>
        </w:rPr>
        <w:t>As required by Section 304(a) of the Clean Water Act (CWA)</w:t>
      </w:r>
      <w:r w:rsidR="00645FBB" w:rsidRPr="00F314C1">
        <w:rPr>
          <w:rFonts w:asciiTheme="minorHAnsi" w:hAnsiTheme="minorHAnsi"/>
          <w:sz w:val="24"/>
          <w:szCs w:val="24"/>
        </w:rPr>
        <w:t xml:space="preserve">, EPA </w:t>
      </w:r>
      <w:r w:rsidRPr="00F314C1">
        <w:rPr>
          <w:rFonts w:asciiTheme="minorHAnsi" w:hAnsiTheme="minorHAnsi"/>
          <w:sz w:val="24"/>
          <w:szCs w:val="24"/>
        </w:rPr>
        <w:t xml:space="preserve">has developed </w:t>
      </w:r>
      <w:r w:rsidR="00645FBB" w:rsidRPr="00F314C1">
        <w:rPr>
          <w:rFonts w:asciiTheme="minorHAnsi" w:hAnsiTheme="minorHAnsi"/>
          <w:sz w:val="24"/>
          <w:szCs w:val="24"/>
        </w:rPr>
        <w:t>recommend</w:t>
      </w:r>
      <w:r w:rsidRPr="00F314C1">
        <w:rPr>
          <w:rFonts w:asciiTheme="minorHAnsi" w:hAnsiTheme="minorHAnsi"/>
          <w:sz w:val="24"/>
          <w:szCs w:val="24"/>
        </w:rPr>
        <w:t>ed</w:t>
      </w:r>
      <w:r w:rsidR="00645FBB" w:rsidRPr="00F314C1">
        <w:rPr>
          <w:rFonts w:asciiTheme="minorHAnsi" w:hAnsiTheme="minorHAnsi"/>
          <w:sz w:val="24"/>
          <w:szCs w:val="24"/>
        </w:rPr>
        <w:t xml:space="preserve"> </w:t>
      </w:r>
      <w:r w:rsidR="00D31726">
        <w:rPr>
          <w:rFonts w:asciiTheme="minorHAnsi" w:hAnsiTheme="minorHAnsi"/>
          <w:sz w:val="24"/>
          <w:szCs w:val="24"/>
        </w:rPr>
        <w:t>HHC</w:t>
      </w:r>
      <w:r w:rsidR="00645FBB" w:rsidRPr="00F314C1">
        <w:rPr>
          <w:rFonts w:asciiTheme="minorHAnsi" w:hAnsiTheme="minorHAnsi"/>
          <w:sz w:val="24"/>
          <w:szCs w:val="24"/>
        </w:rPr>
        <w:t>, which states may adopt or modify based on site-specific conditions (</w:t>
      </w:r>
      <w:r w:rsidR="003352F8" w:rsidRPr="00F314C1">
        <w:rPr>
          <w:rFonts w:asciiTheme="minorHAnsi" w:hAnsiTheme="minorHAnsi"/>
          <w:sz w:val="24"/>
          <w:szCs w:val="24"/>
        </w:rPr>
        <w:t>EPA, 2000</w:t>
      </w:r>
      <w:r w:rsidR="00465BAA" w:rsidRPr="00F314C1">
        <w:rPr>
          <w:rFonts w:asciiTheme="minorHAnsi" w:hAnsiTheme="minorHAnsi"/>
          <w:sz w:val="24"/>
          <w:szCs w:val="24"/>
        </w:rPr>
        <w:t>a</w:t>
      </w:r>
      <w:r w:rsidR="00645FBB" w:rsidRPr="00F314C1">
        <w:rPr>
          <w:rFonts w:asciiTheme="minorHAnsi" w:hAnsiTheme="minorHAnsi"/>
          <w:sz w:val="24"/>
          <w:szCs w:val="24"/>
        </w:rPr>
        <w:t>).</w:t>
      </w:r>
      <w:r w:rsidR="006D7010">
        <w:rPr>
          <w:rFonts w:asciiTheme="minorHAnsi" w:hAnsiTheme="minorHAnsi"/>
          <w:sz w:val="24"/>
          <w:szCs w:val="24"/>
        </w:rPr>
        <w:t xml:space="preserve"> </w:t>
      </w:r>
      <w:r w:rsidRPr="00F314C1">
        <w:rPr>
          <w:rFonts w:asciiTheme="minorHAnsi" w:hAnsiTheme="minorHAnsi"/>
          <w:sz w:val="24"/>
          <w:szCs w:val="24"/>
        </w:rPr>
        <w:t>T</w:t>
      </w:r>
      <w:r w:rsidR="00645FBB" w:rsidRPr="00F314C1">
        <w:rPr>
          <w:rFonts w:asciiTheme="minorHAnsi" w:hAnsiTheme="minorHAnsi"/>
          <w:sz w:val="24"/>
          <w:szCs w:val="24"/>
        </w:rPr>
        <w:t xml:space="preserve">he 1992 National Toxics Rule set numeric </w:t>
      </w:r>
      <w:r w:rsidR="000D62A9" w:rsidRPr="00F314C1">
        <w:rPr>
          <w:rFonts w:asciiTheme="minorHAnsi" w:hAnsiTheme="minorHAnsi"/>
          <w:sz w:val="24"/>
          <w:szCs w:val="24"/>
        </w:rPr>
        <w:t xml:space="preserve">HHC </w:t>
      </w:r>
      <w:r w:rsidR="00645FBB" w:rsidRPr="00F314C1">
        <w:rPr>
          <w:rFonts w:asciiTheme="minorHAnsi" w:hAnsiTheme="minorHAnsi"/>
          <w:sz w:val="24"/>
          <w:szCs w:val="24"/>
        </w:rPr>
        <w:t>for 126 priority toxic pollutants and used a default FCR of 6.5 g/day (EPA, 1992)</w:t>
      </w:r>
      <w:r w:rsidRPr="00F314C1">
        <w:rPr>
          <w:rFonts w:asciiTheme="minorHAnsi" w:hAnsiTheme="minorHAnsi"/>
          <w:sz w:val="24"/>
          <w:szCs w:val="24"/>
        </w:rPr>
        <w:t>.</w:t>
      </w:r>
      <w:r w:rsidR="00645FBB" w:rsidRPr="00F314C1">
        <w:rPr>
          <w:rFonts w:asciiTheme="minorHAnsi" w:hAnsiTheme="minorHAnsi"/>
          <w:sz w:val="24"/>
          <w:szCs w:val="24"/>
        </w:rPr>
        <w:t xml:space="preserve"> </w:t>
      </w:r>
      <w:r w:rsidRPr="00F314C1">
        <w:rPr>
          <w:rFonts w:asciiTheme="minorHAnsi" w:hAnsiTheme="minorHAnsi"/>
          <w:sz w:val="24"/>
          <w:szCs w:val="24"/>
        </w:rPr>
        <w:t>T</w:t>
      </w:r>
      <w:r w:rsidR="00645FBB" w:rsidRPr="00F314C1">
        <w:rPr>
          <w:rFonts w:asciiTheme="minorHAnsi" w:hAnsiTheme="minorHAnsi"/>
          <w:sz w:val="24"/>
          <w:szCs w:val="24"/>
        </w:rPr>
        <w:t xml:space="preserve">he </w:t>
      </w:r>
      <w:r w:rsidRPr="00F314C1">
        <w:rPr>
          <w:rFonts w:asciiTheme="minorHAnsi" w:hAnsiTheme="minorHAnsi"/>
          <w:sz w:val="24"/>
          <w:szCs w:val="24"/>
        </w:rPr>
        <w:t xml:space="preserve">recommended </w:t>
      </w:r>
      <w:r w:rsidR="00645FBB" w:rsidRPr="00F314C1">
        <w:rPr>
          <w:rFonts w:asciiTheme="minorHAnsi" w:hAnsiTheme="minorHAnsi"/>
          <w:sz w:val="24"/>
          <w:szCs w:val="24"/>
        </w:rPr>
        <w:t xml:space="preserve">FCR </w:t>
      </w:r>
      <w:r w:rsidR="000D62A9" w:rsidRPr="00F314C1">
        <w:rPr>
          <w:rFonts w:asciiTheme="minorHAnsi" w:hAnsiTheme="minorHAnsi"/>
          <w:sz w:val="24"/>
          <w:szCs w:val="24"/>
        </w:rPr>
        <w:t xml:space="preserve">value in the HHC formula </w:t>
      </w:r>
      <w:r w:rsidRPr="00F314C1">
        <w:rPr>
          <w:rFonts w:asciiTheme="minorHAnsi" w:hAnsiTheme="minorHAnsi"/>
          <w:sz w:val="24"/>
          <w:szCs w:val="24"/>
        </w:rPr>
        <w:t>was</w:t>
      </w:r>
      <w:r w:rsidR="00645FBB" w:rsidRPr="00F314C1">
        <w:rPr>
          <w:rFonts w:asciiTheme="minorHAnsi" w:hAnsiTheme="minorHAnsi"/>
          <w:sz w:val="24"/>
          <w:szCs w:val="24"/>
        </w:rPr>
        <w:t xml:space="preserve"> updated</w:t>
      </w:r>
      <w:r w:rsidRPr="00F314C1">
        <w:rPr>
          <w:rFonts w:asciiTheme="minorHAnsi" w:hAnsiTheme="minorHAnsi"/>
          <w:sz w:val="24"/>
          <w:szCs w:val="24"/>
        </w:rPr>
        <w:t xml:space="preserve"> by EPA</w:t>
      </w:r>
      <w:r w:rsidR="00645FBB" w:rsidRPr="00F314C1">
        <w:rPr>
          <w:rFonts w:asciiTheme="minorHAnsi" w:hAnsiTheme="minorHAnsi"/>
          <w:sz w:val="24"/>
          <w:szCs w:val="24"/>
        </w:rPr>
        <w:t xml:space="preserve"> in 2000 to 17.5 g/day (EPA, 20</w:t>
      </w:r>
      <w:r w:rsidR="003352F8" w:rsidRPr="00F314C1">
        <w:rPr>
          <w:rFonts w:asciiTheme="minorHAnsi" w:hAnsiTheme="minorHAnsi"/>
          <w:sz w:val="24"/>
          <w:szCs w:val="24"/>
        </w:rPr>
        <w:t>00</w:t>
      </w:r>
      <w:r w:rsidR="00465BAA" w:rsidRPr="00F314C1">
        <w:rPr>
          <w:rFonts w:asciiTheme="minorHAnsi" w:hAnsiTheme="minorHAnsi"/>
          <w:sz w:val="24"/>
          <w:szCs w:val="24"/>
        </w:rPr>
        <w:t>a</w:t>
      </w:r>
      <w:r w:rsidR="0079726E" w:rsidRPr="00F314C1">
        <w:rPr>
          <w:rFonts w:asciiTheme="minorHAnsi" w:hAnsiTheme="minorHAnsi"/>
          <w:sz w:val="24"/>
          <w:szCs w:val="24"/>
        </w:rPr>
        <w:t>)</w:t>
      </w:r>
      <w:r w:rsidR="00645FBB" w:rsidRPr="00F314C1">
        <w:rPr>
          <w:rFonts w:asciiTheme="minorHAnsi" w:hAnsiTheme="minorHAnsi"/>
          <w:sz w:val="24"/>
          <w:szCs w:val="24"/>
        </w:rPr>
        <w:t xml:space="preserve">, and </w:t>
      </w:r>
      <w:r w:rsidR="00F52408">
        <w:rPr>
          <w:rFonts w:asciiTheme="minorHAnsi" w:hAnsiTheme="minorHAnsi"/>
          <w:sz w:val="24"/>
          <w:szCs w:val="24"/>
        </w:rPr>
        <w:t>proposed</w:t>
      </w:r>
      <w:r w:rsidR="00F52408" w:rsidRPr="00F314C1">
        <w:rPr>
          <w:rFonts w:asciiTheme="minorHAnsi" w:hAnsiTheme="minorHAnsi"/>
          <w:sz w:val="24"/>
          <w:szCs w:val="24"/>
        </w:rPr>
        <w:t xml:space="preserve"> </w:t>
      </w:r>
      <w:r w:rsidR="00645FBB" w:rsidRPr="00F314C1">
        <w:rPr>
          <w:rFonts w:asciiTheme="minorHAnsi" w:hAnsiTheme="minorHAnsi"/>
          <w:sz w:val="24"/>
          <w:szCs w:val="24"/>
        </w:rPr>
        <w:t>in 2014 to</w:t>
      </w:r>
      <w:r w:rsidR="00F52408">
        <w:rPr>
          <w:rFonts w:asciiTheme="minorHAnsi" w:hAnsiTheme="minorHAnsi"/>
          <w:sz w:val="24"/>
          <w:szCs w:val="24"/>
        </w:rPr>
        <w:t xml:space="preserve"> increase to</w:t>
      </w:r>
      <w:r w:rsidR="00645FBB" w:rsidRPr="00F314C1">
        <w:rPr>
          <w:rFonts w:asciiTheme="minorHAnsi" w:hAnsiTheme="minorHAnsi"/>
          <w:sz w:val="24"/>
          <w:szCs w:val="24"/>
        </w:rPr>
        <w:t xml:space="preserve"> 22 g/day </w:t>
      </w:r>
      <w:r w:rsidR="00A0241F" w:rsidRPr="00F314C1">
        <w:rPr>
          <w:rFonts w:asciiTheme="minorHAnsi" w:hAnsiTheme="minorHAnsi"/>
          <w:sz w:val="24"/>
          <w:szCs w:val="24"/>
        </w:rPr>
        <w:t>(EPA, 2014b)</w:t>
      </w:r>
      <w:r w:rsidR="00645FBB" w:rsidRPr="00F314C1">
        <w:rPr>
          <w:rFonts w:asciiTheme="minorHAnsi" w:hAnsiTheme="minorHAnsi"/>
          <w:sz w:val="24"/>
          <w:szCs w:val="24"/>
        </w:rPr>
        <w:t xml:space="preserve">. The </w:t>
      </w:r>
      <w:r w:rsidR="00F52408">
        <w:rPr>
          <w:rFonts w:asciiTheme="minorHAnsi" w:hAnsiTheme="minorHAnsi"/>
          <w:sz w:val="24"/>
          <w:szCs w:val="24"/>
        </w:rPr>
        <w:t>proposed</w:t>
      </w:r>
      <w:r w:rsidR="00645FBB" w:rsidRPr="00F314C1">
        <w:rPr>
          <w:rFonts w:asciiTheme="minorHAnsi" w:hAnsiTheme="minorHAnsi"/>
          <w:sz w:val="24"/>
          <w:szCs w:val="24"/>
        </w:rPr>
        <w:t xml:space="preserve"> 2014 FCR of 22 g/day was used by EPA in the draft </w:t>
      </w:r>
      <w:r w:rsidR="00645FBB" w:rsidRPr="00F314C1">
        <w:rPr>
          <w:rFonts w:asciiTheme="minorHAnsi" w:hAnsiTheme="minorHAnsi"/>
          <w:i/>
          <w:sz w:val="24"/>
          <w:szCs w:val="24"/>
        </w:rPr>
        <w:t xml:space="preserve">Updated National Recommended </w:t>
      </w:r>
      <w:r w:rsidR="00645FBB" w:rsidRPr="00F314C1">
        <w:rPr>
          <w:rFonts w:asciiTheme="minorHAnsi" w:hAnsiTheme="minorHAnsi"/>
          <w:i/>
          <w:sz w:val="24"/>
          <w:szCs w:val="24"/>
        </w:rPr>
        <w:lastRenderedPageBreak/>
        <w:t>Water Quality Criteria - Human Health</w:t>
      </w:r>
      <w:r w:rsidR="00645FBB" w:rsidRPr="00F314C1">
        <w:rPr>
          <w:rFonts w:asciiTheme="minorHAnsi" w:hAnsiTheme="minorHAnsi"/>
          <w:sz w:val="24"/>
          <w:szCs w:val="24"/>
        </w:rPr>
        <w:t>, which contains updated national</w:t>
      </w:r>
      <w:r w:rsidR="00F52408">
        <w:rPr>
          <w:rFonts w:asciiTheme="minorHAnsi" w:hAnsiTheme="minorHAnsi"/>
          <w:sz w:val="24"/>
          <w:szCs w:val="24"/>
        </w:rPr>
        <w:t>ly</w:t>
      </w:r>
      <w:r w:rsidR="00645FBB" w:rsidRPr="00F314C1">
        <w:rPr>
          <w:rFonts w:asciiTheme="minorHAnsi" w:hAnsiTheme="minorHAnsi"/>
          <w:sz w:val="24"/>
          <w:szCs w:val="24"/>
        </w:rPr>
        <w:t xml:space="preserve"> recommended </w:t>
      </w:r>
      <w:r w:rsidR="00D31726">
        <w:rPr>
          <w:rFonts w:asciiTheme="minorHAnsi" w:hAnsiTheme="minorHAnsi"/>
          <w:sz w:val="24"/>
          <w:szCs w:val="24"/>
        </w:rPr>
        <w:t>HHC</w:t>
      </w:r>
      <w:r w:rsidR="00645FBB" w:rsidRPr="00F314C1">
        <w:rPr>
          <w:rFonts w:asciiTheme="minorHAnsi" w:hAnsiTheme="minorHAnsi"/>
          <w:sz w:val="24"/>
          <w:szCs w:val="24"/>
        </w:rPr>
        <w:t xml:space="preserve"> for 94 chemical pollutants </w:t>
      </w:r>
      <w:r w:rsidR="00A0241F" w:rsidRPr="00F314C1">
        <w:rPr>
          <w:rFonts w:asciiTheme="minorHAnsi" w:hAnsiTheme="minorHAnsi"/>
          <w:sz w:val="24"/>
          <w:szCs w:val="24"/>
        </w:rPr>
        <w:t>(EPA, 2014b)</w:t>
      </w:r>
      <w:r w:rsidR="00645FBB" w:rsidRPr="00F314C1">
        <w:rPr>
          <w:rFonts w:asciiTheme="minorHAnsi" w:hAnsiTheme="minorHAnsi"/>
          <w:sz w:val="24"/>
          <w:szCs w:val="24"/>
        </w:rPr>
        <w:t>. The default FCR of 22 g/day used in the criteria derivation process represents the 90</w:t>
      </w:r>
      <w:r w:rsidR="00645FBB" w:rsidRPr="00F314C1">
        <w:rPr>
          <w:rFonts w:asciiTheme="minorHAnsi" w:hAnsiTheme="minorHAnsi"/>
          <w:sz w:val="24"/>
          <w:szCs w:val="24"/>
          <w:vertAlign w:val="superscript"/>
        </w:rPr>
        <w:t>th</w:t>
      </w:r>
      <w:r w:rsidR="00645FBB" w:rsidRPr="00F314C1">
        <w:rPr>
          <w:rFonts w:asciiTheme="minorHAnsi" w:hAnsiTheme="minorHAnsi"/>
          <w:sz w:val="24"/>
          <w:szCs w:val="24"/>
        </w:rPr>
        <w:t xml:space="preserve"> percentile consumption rate of freshwater and estuarine fish for the U.S. adult population age 21 and over, based on National Health and Nutrition Examination Survey data from 2003 – 2010 </w:t>
      </w:r>
      <w:r w:rsidR="00A0241F" w:rsidRPr="00F314C1">
        <w:rPr>
          <w:rFonts w:asciiTheme="minorHAnsi" w:hAnsiTheme="minorHAnsi"/>
          <w:sz w:val="24"/>
          <w:szCs w:val="24"/>
        </w:rPr>
        <w:t>(EPA, 2014b)</w:t>
      </w:r>
      <w:r w:rsidR="00645FBB" w:rsidRPr="00F314C1">
        <w:rPr>
          <w:rFonts w:asciiTheme="minorHAnsi" w:hAnsiTheme="minorHAnsi"/>
          <w:sz w:val="24"/>
          <w:szCs w:val="24"/>
        </w:rPr>
        <w:t>. Because the default FCR does not account for consumption of marine fish</w:t>
      </w:r>
      <w:r w:rsidR="00B17BEA" w:rsidRPr="00F314C1">
        <w:rPr>
          <w:rFonts w:asciiTheme="minorHAnsi" w:hAnsiTheme="minorHAnsi"/>
          <w:sz w:val="24"/>
          <w:szCs w:val="24"/>
        </w:rPr>
        <w:t xml:space="preserve"> (inc</w:t>
      </w:r>
      <w:r w:rsidR="00F52408">
        <w:rPr>
          <w:rFonts w:asciiTheme="minorHAnsi" w:hAnsiTheme="minorHAnsi"/>
          <w:sz w:val="24"/>
          <w:szCs w:val="24"/>
        </w:rPr>
        <w:t>luding</w:t>
      </w:r>
      <w:r w:rsidR="00B17BEA" w:rsidRPr="00F314C1">
        <w:rPr>
          <w:rFonts w:asciiTheme="minorHAnsi" w:hAnsiTheme="minorHAnsi"/>
          <w:sz w:val="24"/>
          <w:szCs w:val="24"/>
        </w:rPr>
        <w:t xml:space="preserve"> an</w:t>
      </w:r>
      <w:r w:rsidR="00D73A06">
        <w:rPr>
          <w:rFonts w:asciiTheme="minorHAnsi" w:hAnsiTheme="minorHAnsi"/>
          <w:sz w:val="24"/>
          <w:szCs w:val="24"/>
        </w:rPr>
        <w:t>a</w:t>
      </w:r>
      <w:r w:rsidR="00B17BEA" w:rsidRPr="00F314C1">
        <w:rPr>
          <w:rFonts w:asciiTheme="minorHAnsi" w:hAnsiTheme="minorHAnsi"/>
          <w:sz w:val="24"/>
          <w:szCs w:val="24"/>
        </w:rPr>
        <w:t>dromous species)</w:t>
      </w:r>
      <w:r w:rsidR="00645FBB" w:rsidRPr="00F314C1">
        <w:rPr>
          <w:rFonts w:asciiTheme="minorHAnsi" w:hAnsiTheme="minorHAnsi"/>
          <w:sz w:val="24"/>
          <w:szCs w:val="24"/>
        </w:rPr>
        <w:t xml:space="preserve">, EPA acknowledges that coastal states may </w:t>
      </w:r>
      <w:r w:rsidR="0079726E" w:rsidRPr="00F314C1">
        <w:rPr>
          <w:rFonts w:asciiTheme="minorHAnsi" w:hAnsiTheme="minorHAnsi"/>
          <w:sz w:val="24"/>
          <w:szCs w:val="24"/>
        </w:rPr>
        <w:t xml:space="preserve">instead </w:t>
      </w:r>
      <w:r w:rsidR="00645FBB" w:rsidRPr="00F314C1">
        <w:rPr>
          <w:rFonts w:asciiTheme="minorHAnsi" w:hAnsiTheme="minorHAnsi"/>
          <w:sz w:val="24"/>
          <w:szCs w:val="24"/>
        </w:rPr>
        <w:t>prefer t</w:t>
      </w:r>
      <w:r w:rsidR="0079726E" w:rsidRPr="00F314C1">
        <w:rPr>
          <w:rFonts w:asciiTheme="minorHAnsi" w:hAnsiTheme="minorHAnsi"/>
          <w:sz w:val="24"/>
          <w:szCs w:val="24"/>
        </w:rPr>
        <w:t>o</w:t>
      </w:r>
      <w:r w:rsidR="00645FBB" w:rsidRPr="00F314C1">
        <w:rPr>
          <w:rFonts w:asciiTheme="minorHAnsi" w:hAnsiTheme="minorHAnsi"/>
          <w:sz w:val="24"/>
          <w:szCs w:val="24"/>
        </w:rPr>
        <w:t xml:space="preserve"> use a FCR based on total fish consumption (EPA, 2013).</w:t>
      </w:r>
    </w:p>
    <w:p w14:paraId="64987F51" w14:textId="2237E30A" w:rsidR="001616DA" w:rsidRPr="00F314C1" w:rsidRDefault="00645FBB" w:rsidP="002C7DB6">
      <w:pPr>
        <w:jc w:val="both"/>
        <w:rPr>
          <w:rFonts w:asciiTheme="minorHAnsi" w:hAnsiTheme="minorHAnsi"/>
          <w:sz w:val="24"/>
          <w:szCs w:val="24"/>
        </w:rPr>
      </w:pPr>
      <w:r w:rsidRPr="00F314C1">
        <w:rPr>
          <w:rFonts w:asciiTheme="minorHAnsi" w:hAnsiTheme="minorHAnsi"/>
          <w:sz w:val="24"/>
          <w:szCs w:val="24"/>
        </w:rPr>
        <w:t xml:space="preserve">EPA provides guidance for states on methodology for development of </w:t>
      </w:r>
      <w:r w:rsidR="00CE3F05" w:rsidRPr="00F314C1">
        <w:rPr>
          <w:rFonts w:asciiTheme="minorHAnsi" w:hAnsiTheme="minorHAnsi"/>
          <w:sz w:val="24"/>
          <w:szCs w:val="24"/>
        </w:rPr>
        <w:t xml:space="preserve">modified </w:t>
      </w:r>
      <w:r w:rsidR="00D31726">
        <w:rPr>
          <w:rFonts w:asciiTheme="minorHAnsi" w:hAnsiTheme="minorHAnsi"/>
          <w:sz w:val="24"/>
          <w:szCs w:val="24"/>
        </w:rPr>
        <w:t>HHC</w:t>
      </w:r>
      <w:r w:rsidR="00D31726" w:rsidRPr="00F314C1">
        <w:rPr>
          <w:rFonts w:asciiTheme="minorHAnsi" w:hAnsiTheme="minorHAnsi"/>
          <w:sz w:val="24"/>
          <w:szCs w:val="24"/>
        </w:rPr>
        <w:t xml:space="preserve"> </w:t>
      </w:r>
      <w:r w:rsidRPr="00F314C1">
        <w:rPr>
          <w:rFonts w:asciiTheme="minorHAnsi" w:hAnsiTheme="minorHAnsi"/>
          <w:sz w:val="24"/>
          <w:szCs w:val="24"/>
        </w:rPr>
        <w:t>(EPA, 2000</w:t>
      </w:r>
      <w:r w:rsidR="00465BAA" w:rsidRPr="00F314C1">
        <w:rPr>
          <w:rFonts w:asciiTheme="minorHAnsi" w:hAnsiTheme="minorHAnsi"/>
          <w:sz w:val="24"/>
          <w:szCs w:val="24"/>
        </w:rPr>
        <w:t>a</w:t>
      </w:r>
      <w:r w:rsidRPr="00F314C1">
        <w:rPr>
          <w:rFonts w:asciiTheme="minorHAnsi" w:hAnsiTheme="minorHAnsi"/>
          <w:sz w:val="24"/>
          <w:szCs w:val="24"/>
        </w:rPr>
        <w:t>). Current methodology guidanc</w:t>
      </w:r>
      <w:r w:rsidR="00C25D73" w:rsidRPr="00F314C1">
        <w:rPr>
          <w:rFonts w:asciiTheme="minorHAnsi" w:hAnsiTheme="minorHAnsi"/>
          <w:sz w:val="24"/>
          <w:szCs w:val="24"/>
        </w:rPr>
        <w:t>e</w:t>
      </w:r>
      <w:r w:rsidRPr="00F314C1">
        <w:rPr>
          <w:rFonts w:asciiTheme="minorHAnsi" w:hAnsiTheme="minorHAnsi"/>
          <w:sz w:val="24"/>
          <w:szCs w:val="24"/>
        </w:rPr>
        <w:t xml:space="preserve"> provided by EPA recommends protection of the general public to be represented by the 90</w:t>
      </w:r>
      <w:r w:rsidRPr="00F314C1">
        <w:rPr>
          <w:rFonts w:asciiTheme="minorHAnsi" w:hAnsiTheme="minorHAnsi"/>
          <w:sz w:val="24"/>
          <w:szCs w:val="24"/>
          <w:vertAlign w:val="superscript"/>
        </w:rPr>
        <w:t>th</w:t>
      </w:r>
      <w:r w:rsidRPr="00F314C1">
        <w:rPr>
          <w:rFonts w:asciiTheme="minorHAnsi" w:hAnsiTheme="minorHAnsi"/>
          <w:sz w:val="24"/>
          <w:szCs w:val="24"/>
        </w:rPr>
        <w:t xml:space="preserve"> percentile of a total exposure distribution. EPA encourages individual states to consider adjusting their FCR based on site-specific conditions, such as populations of subsistence fishers, when adopting </w:t>
      </w:r>
      <w:r w:rsidR="00D31726">
        <w:rPr>
          <w:rFonts w:asciiTheme="minorHAnsi" w:hAnsiTheme="minorHAnsi"/>
          <w:sz w:val="24"/>
          <w:szCs w:val="24"/>
        </w:rPr>
        <w:t>HHC</w:t>
      </w:r>
      <w:r w:rsidRPr="00F314C1">
        <w:rPr>
          <w:rFonts w:asciiTheme="minorHAnsi" w:hAnsiTheme="minorHAnsi"/>
          <w:sz w:val="24"/>
          <w:szCs w:val="24"/>
        </w:rPr>
        <w:t>. In the absence of site-specific information, EPA recommends the 99</w:t>
      </w:r>
      <w:r w:rsidRPr="00F314C1">
        <w:rPr>
          <w:rFonts w:asciiTheme="minorHAnsi" w:hAnsiTheme="minorHAnsi"/>
          <w:sz w:val="24"/>
          <w:szCs w:val="24"/>
          <w:vertAlign w:val="superscript"/>
        </w:rPr>
        <w:t>th</w:t>
      </w:r>
      <w:r w:rsidRPr="00F314C1">
        <w:rPr>
          <w:rFonts w:asciiTheme="minorHAnsi" w:hAnsiTheme="minorHAnsi"/>
          <w:sz w:val="24"/>
          <w:szCs w:val="24"/>
        </w:rPr>
        <w:t xml:space="preserve"> percentile of per capita fish consumption </w:t>
      </w:r>
      <w:r w:rsidR="006D7010">
        <w:rPr>
          <w:rFonts w:asciiTheme="minorHAnsi" w:hAnsiTheme="minorHAnsi"/>
          <w:sz w:val="24"/>
          <w:szCs w:val="24"/>
        </w:rPr>
        <w:t xml:space="preserve">rate values set in the 2000 recommendation </w:t>
      </w:r>
      <w:r w:rsidRPr="00F314C1">
        <w:rPr>
          <w:rFonts w:asciiTheme="minorHAnsi" w:hAnsiTheme="minorHAnsi"/>
          <w:sz w:val="24"/>
          <w:szCs w:val="24"/>
        </w:rPr>
        <w:t>as a surrogate value for subsistence fishers (EPA, 2013)</w:t>
      </w:r>
      <w:r w:rsidR="0071305F" w:rsidRPr="00F314C1">
        <w:rPr>
          <w:rFonts w:asciiTheme="minorHAnsi" w:hAnsiTheme="minorHAnsi"/>
          <w:sz w:val="24"/>
          <w:szCs w:val="24"/>
        </w:rPr>
        <w:t>,</w:t>
      </w:r>
      <w:r w:rsidR="001171E4" w:rsidRPr="00F314C1">
        <w:rPr>
          <w:rFonts w:asciiTheme="minorHAnsi" w:hAnsiTheme="minorHAnsi"/>
          <w:sz w:val="24"/>
          <w:szCs w:val="24"/>
        </w:rPr>
        <w:t xml:space="preserve"> which equates to 142.5 g/day</w:t>
      </w:r>
      <w:r w:rsidRPr="00F314C1">
        <w:rPr>
          <w:rFonts w:asciiTheme="minorHAnsi" w:hAnsiTheme="minorHAnsi"/>
          <w:sz w:val="24"/>
          <w:szCs w:val="24"/>
        </w:rPr>
        <w:t>.</w:t>
      </w:r>
      <w:r w:rsidR="00CE3F05" w:rsidRPr="00F314C1">
        <w:rPr>
          <w:rFonts w:asciiTheme="minorHAnsi" w:hAnsiTheme="minorHAnsi"/>
          <w:sz w:val="24"/>
          <w:szCs w:val="24"/>
        </w:rPr>
        <w:t xml:space="preserve"> </w:t>
      </w:r>
      <w:r w:rsidR="006D7010">
        <w:rPr>
          <w:rFonts w:asciiTheme="minorHAnsi" w:hAnsiTheme="minorHAnsi"/>
          <w:sz w:val="24"/>
          <w:szCs w:val="24"/>
        </w:rPr>
        <w:t xml:space="preserve">The 2014 recommendations did not suggest an increase for the subsistence fishers FCR. </w:t>
      </w:r>
      <w:r w:rsidRPr="00F314C1">
        <w:rPr>
          <w:rFonts w:asciiTheme="minorHAnsi" w:hAnsiTheme="minorHAnsi"/>
          <w:sz w:val="24"/>
          <w:szCs w:val="24"/>
        </w:rPr>
        <w:t>EPA</w:t>
      </w:r>
      <w:r w:rsidR="00CE3F05" w:rsidRPr="00F314C1">
        <w:rPr>
          <w:rFonts w:asciiTheme="minorHAnsi" w:hAnsiTheme="minorHAnsi"/>
          <w:sz w:val="24"/>
          <w:szCs w:val="24"/>
        </w:rPr>
        <w:t xml:space="preserve"> </w:t>
      </w:r>
      <w:r w:rsidRPr="00F314C1">
        <w:rPr>
          <w:rFonts w:asciiTheme="minorHAnsi" w:hAnsiTheme="minorHAnsi"/>
          <w:sz w:val="24"/>
          <w:szCs w:val="24"/>
        </w:rPr>
        <w:t>encourages</w:t>
      </w:r>
      <w:r w:rsidR="00CE3F05" w:rsidRPr="00F314C1">
        <w:rPr>
          <w:rFonts w:asciiTheme="minorHAnsi" w:hAnsiTheme="minorHAnsi"/>
          <w:sz w:val="24"/>
          <w:szCs w:val="24"/>
        </w:rPr>
        <w:t xml:space="preserve"> states to use</w:t>
      </w:r>
      <w:r w:rsidRPr="00F314C1">
        <w:rPr>
          <w:rFonts w:asciiTheme="minorHAnsi" w:hAnsiTheme="minorHAnsi"/>
          <w:sz w:val="24"/>
          <w:szCs w:val="24"/>
        </w:rPr>
        <w:t xml:space="preserve"> the best local, state, or regional data available to derive appropriate FCRs as an alternative to EPA’s default consumption rate. The preferred data source hierarchy described in the 2014 draft update is: 1) use of local data; 2) use of data reflecting similar geography/population groups; 3) use of data from national surveys; and 4) use of EPA default intake rates </w:t>
      </w:r>
      <w:r w:rsidR="00A0241F" w:rsidRPr="00F314C1">
        <w:rPr>
          <w:rFonts w:asciiTheme="minorHAnsi" w:hAnsiTheme="minorHAnsi"/>
          <w:sz w:val="24"/>
          <w:szCs w:val="24"/>
        </w:rPr>
        <w:t>(EPA, 2014b)</w:t>
      </w:r>
      <w:r w:rsidRPr="00F314C1">
        <w:rPr>
          <w:rFonts w:asciiTheme="minorHAnsi" w:hAnsiTheme="minorHAnsi"/>
          <w:sz w:val="24"/>
          <w:szCs w:val="24"/>
        </w:rPr>
        <w:t>.</w:t>
      </w:r>
    </w:p>
    <w:p w14:paraId="64987F52" w14:textId="7F2F5845" w:rsidR="00EC2709" w:rsidRPr="00F314C1" w:rsidRDefault="00645FBB" w:rsidP="002C7DB6">
      <w:pPr>
        <w:pStyle w:val="Heading1"/>
        <w:jc w:val="both"/>
        <w:rPr>
          <w:sz w:val="24"/>
          <w:szCs w:val="24"/>
        </w:rPr>
      </w:pPr>
      <w:bookmarkStart w:id="10" w:name="_Toc391035969"/>
      <w:r w:rsidRPr="00F314C1">
        <w:rPr>
          <w:sz w:val="24"/>
          <w:szCs w:val="24"/>
        </w:rPr>
        <w:t>F</w:t>
      </w:r>
      <w:r w:rsidR="007F6D08" w:rsidRPr="00F314C1">
        <w:rPr>
          <w:sz w:val="24"/>
          <w:szCs w:val="24"/>
        </w:rPr>
        <w:t>CR</w:t>
      </w:r>
      <w:r w:rsidR="000D6039" w:rsidRPr="00F314C1">
        <w:rPr>
          <w:sz w:val="24"/>
          <w:szCs w:val="24"/>
        </w:rPr>
        <w:t>s</w:t>
      </w:r>
      <w:r w:rsidRPr="00F314C1">
        <w:rPr>
          <w:sz w:val="24"/>
          <w:szCs w:val="24"/>
        </w:rPr>
        <w:t xml:space="preserve"> in </w:t>
      </w:r>
      <w:r w:rsidR="000D1CAE" w:rsidRPr="00F314C1">
        <w:rPr>
          <w:sz w:val="24"/>
          <w:szCs w:val="24"/>
        </w:rPr>
        <w:t xml:space="preserve">EPA Region 10 </w:t>
      </w:r>
      <w:r w:rsidRPr="00F314C1">
        <w:rPr>
          <w:sz w:val="24"/>
          <w:szCs w:val="24"/>
        </w:rPr>
        <w:t>States</w:t>
      </w:r>
      <w:bookmarkEnd w:id="10"/>
    </w:p>
    <w:p w14:paraId="64987F53" w14:textId="4D0B2D77" w:rsidR="002851B1" w:rsidRPr="00F314C1" w:rsidRDefault="00645FBB" w:rsidP="002C7DB6">
      <w:pPr>
        <w:jc w:val="both"/>
        <w:rPr>
          <w:rFonts w:asciiTheme="minorHAnsi" w:hAnsiTheme="minorHAnsi"/>
          <w:sz w:val="24"/>
          <w:szCs w:val="24"/>
        </w:rPr>
      </w:pPr>
      <w:r w:rsidRPr="00F314C1">
        <w:rPr>
          <w:rFonts w:asciiTheme="minorHAnsi" w:hAnsiTheme="minorHAnsi"/>
          <w:sz w:val="24"/>
          <w:szCs w:val="24"/>
        </w:rPr>
        <w:t>Per capita fish consumption is higher in the EPA Region 10 states (Alaska, Washington, Oregon, and Idaho) compared to the U.S. average, particularly among tribes, recreational anglers, and certain minority and immigrant groups (</w:t>
      </w:r>
      <w:r w:rsidR="00DB1878">
        <w:rPr>
          <w:rFonts w:asciiTheme="minorHAnsi" w:hAnsiTheme="minorHAnsi"/>
          <w:sz w:val="24"/>
          <w:szCs w:val="24"/>
        </w:rPr>
        <w:t>S</w:t>
      </w:r>
      <w:r w:rsidR="00DB2A56">
        <w:rPr>
          <w:rFonts w:asciiTheme="minorHAnsi" w:hAnsiTheme="minorHAnsi"/>
          <w:sz w:val="24"/>
          <w:szCs w:val="24"/>
        </w:rPr>
        <w:t>tate of Washington</w:t>
      </w:r>
      <w:r w:rsidR="0079726E" w:rsidRPr="00F314C1">
        <w:rPr>
          <w:rFonts w:asciiTheme="minorHAnsi" w:hAnsiTheme="minorHAnsi"/>
          <w:sz w:val="24"/>
          <w:szCs w:val="24"/>
        </w:rPr>
        <w:t>,</w:t>
      </w:r>
      <w:r w:rsidRPr="00F314C1">
        <w:rPr>
          <w:rFonts w:asciiTheme="minorHAnsi" w:hAnsiTheme="minorHAnsi"/>
          <w:sz w:val="24"/>
          <w:szCs w:val="24"/>
        </w:rPr>
        <w:t xml:space="preserve"> 2013). EPA and the public have requested that the state governments of Washington, Idaho, and Oregon research and recommend FCRs that consider state-specific populations, as opposed to using EPA’s default FCR </w:t>
      </w:r>
      <w:r w:rsidR="00A0241F" w:rsidRPr="00F314C1">
        <w:rPr>
          <w:rFonts w:asciiTheme="minorHAnsi" w:hAnsiTheme="minorHAnsi"/>
          <w:sz w:val="24"/>
          <w:szCs w:val="24"/>
        </w:rPr>
        <w:t>(EPA, 2014b)</w:t>
      </w:r>
      <w:r w:rsidRPr="00F314C1">
        <w:rPr>
          <w:rFonts w:asciiTheme="minorHAnsi" w:hAnsiTheme="minorHAnsi"/>
          <w:sz w:val="24"/>
          <w:szCs w:val="24"/>
        </w:rPr>
        <w:t xml:space="preserve">. In </w:t>
      </w:r>
      <w:r w:rsidR="002872A1">
        <w:rPr>
          <w:rFonts w:asciiTheme="minorHAnsi" w:hAnsiTheme="minorHAnsi"/>
          <w:sz w:val="24"/>
          <w:szCs w:val="24"/>
        </w:rPr>
        <w:t>2008</w:t>
      </w:r>
      <w:r w:rsidRPr="00F314C1">
        <w:rPr>
          <w:rFonts w:asciiTheme="minorHAnsi" w:hAnsiTheme="minorHAnsi"/>
          <w:sz w:val="24"/>
          <w:szCs w:val="24"/>
        </w:rPr>
        <w:t xml:space="preserve">, </w:t>
      </w:r>
      <w:r w:rsidR="002872A1" w:rsidRPr="00F314C1">
        <w:rPr>
          <w:rFonts w:asciiTheme="minorHAnsi" w:hAnsiTheme="minorHAnsi"/>
          <w:sz w:val="24"/>
          <w:szCs w:val="24"/>
        </w:rPr>
        <w:t>Oregon’s Environmental Water quality Commission directed</w:t>
      </w:r>
      <w:r w:rsidR="002872A1" w:rsidRPr="00F314C1">
        <w:rPr>
          <w:rFonts w:asciiTheme="minorHAnsi" w:hAnsiTheme="minorHAnsi"/>
          <w:sz w:val="24"/>
        </w:rPr>
        <w:t xml:space="preserve"> the</w:t>
      </w:r>
      <w:r w:rsidRPr="00F314C1">
        <w:rPr>
          <w:rFonts w:asciiTheme="minorHAnsi" w:hAnsiTheme="minorHAnsi"/>
          <w:sz w:val="24"/>
        </w:rPr>
        <w:t xml:space="preserve"> </w:t>
      </w:r>
      <w:r w:rsidRPr="00820796">
        <w:rPr>
          <w:rFonts w:asciiTheme="minorHAnsi" w:hAnsiTheme="minorHAnsi"/>
        </w:rPr>
        <w:t xml:space="preserve">use a </w:t>
      </w:r>
      <w:r w:rsidRPr="00F314C1">
        <w:rPr>
          <w:rFonts w:asciiTheme="minorHAnsi" w:hAnsiTheme="minorHAnsi"/>
          <w:sz w:val="24"/>
          <w:szCs w:val="24"/>
        </w:rPr>
        <w:t xml:space="preserve">175 g/day FCR in the development of </w:t>
      </w:r>
      <w:r w:rsidR="002028F8">
        <w:rPr>
          <w:rFonts w:asciiTheme="minorHAnsi" w:hAnsiTheme="minorHAnsi"/>
          <w:sz w:val="24"/>
          <w:szCs w:val="24"/>
        </w:rPr>
        <w:t>HHC</w:t>
      </w:r>
      <w:r w:rsidRPr="00F314C1">
        <w:rPr>
          <w:rFonts w:asciiTheme="minorHAnsi" w:hAnsiTheme="minorHAnsi"/>
          <w:sz w:val="24"/>
          <w:szCs w:val="24"/>
        </w:rPr>
        <w:t>, which protects up to the 95</w:t>
      </w:r>
      <w:r w:rsidRPr="00F314C1">
        <w:rPr>
          <w:rFonts w:asciiTheme="minorHAnsi" w:hAnsiTheme="minorHAnsi"/>
          <w:sz w:val="24"/>
          <w:szCs w:val="24"/>
          <w:vertAlign w:val="superscript"/>
        </w:rPr>
        <w:t>th</w:t>
      </w:r>
      <w:r w:rsidRPr="00F314C1">
        <w:rPr>
          <w:rFonts w:asciiTheme="minorHAnsi" w:hAnsiTheme="minorHAnsi"/>
          <w:sz w:val="24"/>
          <w:szCs w:val="24"/>
        </w:rPr>
        <w:t xml:space="preserve"> percentile of Oregonians who consume the most fish. This FCR was derived using research conducted by the Columbia River Inter-Tribal Fish Commission, EPA, and tribal biologists (EPA, 2011). Oregon’s updated FCR was used in their revision to </w:t>
      </w:r>
      <w:r w:rsidR="00D31726">
        <w:rPr>
          <w:rFonts w:asciiTheme="minorHAnsi" w:hAnsiTheme="minorHAnsi"/>
          <w:sz w:val="24"/>
          <w:szCs w:val="24"/>
        </w:rPr>
        <w:t>HHC</w:t>
      </w:r>
      <w:r w:rsidRPr="00F314C1">
        <w:rPr>
          <w:rFonts w:asciiTheme="minorHAnsi" w:hAnsiTheme="minorHAnsi"/>
          <w:sz w:val="24"/>
          <w:szCs w:val="24"/>
        </w:rPr>
        <w:t xml:space="preserve"> for </w:t>
      </w:r>
      <w:r w:rsidR="00415C46">
        <w:rPr>
          <w:rFonts w:asciiTheme="minorHAnsi" w:hAnsiTheme="minorHAnsi"/>
          <w:sz w:val="24"/>
          <w:szCs w:val="24"/>
        </w:rPr>
        <w:t>105</w:t>
      </w:r>
      <w:r w:rsidR="00415C46" w:rsidRPr="00F314C1">
        <w:rPr>
          <w:rFonts w:asciiTheme="minorHAnsi" w:hAnsiTheme="minorHAnsi"/>
          <w:sz w:val="24"/>
          <w:szCs w:val="24"/>
        </w:rPr>
        <w:t xml:space="preserve"> </w:t>
      </w:r>
      <w:r w:rsidRPr="00F314C1">
        <w:rPr>
          <w:rFonts w:asciiTheme="minorHAnsi" w:hAnsiTheme="minorHAnsi"/>
          <w:sz w:val="24"/>
          <w:szCs w:val="24"/>
        </w:rPr>
        <w:t>toxic pollutants</w:t>
      </w:r>
      <w:r w:rsidR="00820796">
        <w:rPr>
          <w:rFonts w:asciiTheme="minorHAnsi" w:hAnsiTheme="minorHAnsi"/>
          <w:sz w:val="24"/>
          <w:szCs w:val="24"/>
        </w:rPr>
        <w:t xml:space="preserve"> adopted in Oregon water quality standards and approved by EPA </w:t>
      </w:r>
      <w:r w:rsidR="002872A1">
        <w:rPr>
          <w:rFonts w:asciiTheme="minorHAnsi" w:hAnsiTheme="minorHAnsi"/>
          <w:sz w:val="24"/>
          <w:szCs w:val="24"/>
        </w:rPr>
        <w:t>in 2011</w:t>
      </w:r>
      <w:r w:rsidR="00820796">
        <w:rPr>
          <w:rFonts w:asciiTheme="minorHAnsi" w:hAnsiTheme="minorHAnsi"/>
          <w:sz w:val="24"/>
          <w:szCs w:val="24"/>
        </w:rPr>
        <w:t>.</w:t>
      </w:r>
      <w:r w:rsidR="00E85DA4" w:rsidRPr="00F314C1">
        <w:rPr>
          <w:rFonts w:asciiTheme="minorHAnsi" w:hAnsiTheme="minorHAnsi"/>
          <w:sz w:val="24"/>
          <w:szCs w:val="24"/>
        </w:rPr>
        <w:t xml:space="preserve"> </w:t>
      </w:r>
      <w:r w:rsidRPr="00F314C1">
        <w:rPr>
          <w:rFonts w:asciiTheme="minorHAnsi" w:hAnsiTheme="minorHAnsi"/>
          <w:sz w:val="24"/>
          <w:szCs w:val="24"/>
        </w:rPr>
        <w:t>(</w:t>
      </w:r>
      <w:r w:rsidR="00DB2A56">
        <w:rPr>
          <w:rFonts w:asciiTheme="minorHAnsi" w:hAnsiTheme="minorHAnsi"/>
          <w:sz w:val="24"/>
          <w:szCs w:val="24"/>
        </w:rPr>
        <w:t>Oregon</w:t>
      </w:r>
      <w:r w:rsidR="00162684" w:rsidRPr="00F314C1">
        <w:rPr>
          <w:rFonts w:asciiTheme="minorHAnsi" w:hAnsiTheme="minorHAnsi"/>
          <w:sz w:val="24"/>
          <w:szCs w:val="24"/>
        </w:rPr>
        <w:t>, 2011</w:t>
      </w:r>
      <w:r w:rsidRPr="00F314C1">
        <w:rPr>
          <w:rFonts w:asciiTheme="minorHAnsi" w:hAnsiTheme="minorHAnsi"/>
          <w:sz w:val="24"/>
          <w:szCs w:val="24"/>
        </w:rPr>
        <w:t xml:space="preserve">). Washington </w:t>
      </w:r>
      <w:r w:rsidR="00B17BEA" w:rsidRPr="00F314C1">
        <w:rPr>
          <w:rFonts w:asciiTheme="minorHAnsi" w:hAnsiTheme="minorHAnsi"/>
          <w:sz w:val="24"/>
          <w:szCs w:val="24"/>
        </w:rPr>
        <w:t xml:space="preserve">has </w:t>
      </w:r>
      <w:r w:rsidR="00CE5A80">
        <w:rPr>
          <w:rFonts w:asciiTheme="minorHAnsi" w:hAnsiTheme="minorHAnsi"/>
          <w:sz w:val="24"/>
          <w:szCs w:val="24"/>
        </w:rPr>
        <w:t xml:space="preserve">since </w:t>
      </w:r>
      <w:r w:rsidR="00B17BEA" w:rsidRPr="00F314C1">
        <w:rPr>
          <w:rFonts w:asciiTheme="minorHAnsi" w:hAnsiTheme="minorHAnsi"/>
          <w:sz w:val="24"/>
          <w:szCs w:val="24"/>
        </w:rPr>
        <w:t xml:space="preserve">proposed a FCR of 175 g/day </w:t>
      </w:r>
      <w:r w:rsidR="00415C46">
        <w:rPr>
          <w:rFonts w:asciiTheme="minorHAnsi" w:hAnsiTheme="minorHAnsi"/>
          <w:sz w:val="24"/>
          <w:szCs w:val="24"/>
        </w:rPr>
        <w:t xml:space="preserve">for use </w:t>
      </w:r>
      <w:r w:rsidR="00B17BEA" w:rsidRPr="00F314C1">
        <w:rPr>
          <w:rFonts w:asciiTheme="minorHAnsi" w:hAnsiTheme="minorHAnsi"/>
          <w:sz w:val="24"/>
          <w:szCs w:val="24"/>
        </w:rPr>
        <w:t xml:space="preserve">in </w:t>
      </w:r>
      <w:r w:rsidR="00415C46">
        <w:rPr>
          <w:rFonts w:asciiTheme="minorHAnsi" w:hAnsiTheme="minorHAnsi"/>
          <w:sz w:val="24"/>
          <w:szCs w:val="24"/>
        </w:rPr>
        <w:t xml:space="preserve">deriving </w:t>
      </w:r>
      <w:r w:rsidR="00B17BEA" w:rsidRPr="00F314C1">
        <w:rPr>
          <w:rFonts w:asciiTheme="minorHAnsi" w:hAnsiTheme="minorHAnsi"/>
          <w:sz w:val="24"/>
          <w:szCs w:val="24"/>
        </w:rPr>
        <w:t xml:space="preserve">its September 2014 draft HHC </w:t>
      </w:r>
      <w:r w:rsidR="002872A1">
        <w:rPr>
          <w:rFonts w:asciiTheme="minorHAnsi" w:hAnsiTheme="minorHAnsi"/>
          <w:sz w:val="24"/>
          <w:szCs w:val="24"/>
        </w:rPr>
        <w:t>revisions</w:t>
      </w:r>
      <w:r w:rsidR="00B17BEA" w:rsidRPr="00F314C1">
        <w:rPr>
          <w:rFonts w:asciiTheme="minorHAnsi" w:hAnsiTheme="minorHAnsi"/>
          <w:sz w:val="24"/>
          <w:szCs w:val="24"/>
        </w:rPr>
        <w:t xml:space="preserve">. </w:t>
      </w:r>
      <w:r w:rsidRPr="00F314C1">
        <w:rPr>
          <w:rFonts w:asciiTheme="minorHAnsi" w:hAnsiTheme="minorHAnsi"/>
          <w:sz w:val="24"/>
          <w:szCs w:val="24"/>
        </w:rPr>
        <w:t xml:space="preserve"> Idaho </w:t>
      </w:r>
      <w:r w:rsidR="00B17BEA" w:rsidRPr="00F314C1">
        <w:rPr>
          <w:rFonts w:asciiTheme="minorHAnsi" w:hAnsiTheme="minorHAnsi"/>
          <w:sz w:val="24"/>
          <w:szCs w:val="24"/>
        </w:rPr>
        <w:t xml:space="preserve">is </w:t>
      </w:r>
      <w:r w:rsidRPr="00F314C1">
        <w:rPr>
          <w:rFonts w:asciiTheme="minorHAnsi" w:hAnsiTheme="minorHAnsi"/>
          <w:sz w:val="24"/>
          <w:szCs w:val="24"/>
        </w:rPr>
        <w:t xml:space="preserve">in the process of researching state-specific FCRs to assist in revising their </w:t>
      </w:r>
      <w:r w:rsidR="00B17BEA" w:rsidRPr="00F314C1">
        <w:rPr>
          <w:rFonts w:asciiTheme="minorHAnsi" w:hAnsiTheme="minorHAnsi"/>
          <w:sz w:val="24"/>
          <w:szCs w:val="24"/>
        </w:rPr>
        <w:t>HHC</w:t>
      </w:r>
      <w:r w:rsidR="00691B3C" w:rsidRPr="00F314C1">
        <w:rPr>
          <w:rFonts w:asciiTheme="minorHAnsi" w:hAnsiTheme="minorHAnsi"/>
          <w:sz w:val="24"/>
          <w:szCs w:val="24"/>
        </w:rPr>
        <w:t xml:space="preserve"> equation for determining numeric chemical criteria</w:t>
      </w:r>
      <w:r w:rsidRPr="00F314C1">
        <w:rPr>
          <w:rFonts w:asciiTheme="minorHAnsi" w:hAnsiTheme="minorHAnsi"/>
          <w:sz w:val="24"/>
          <w:szCs w:val="24"/>
        </w:rPr>
        <w:t>.</w:t>
      </w:r>
      <w:r w:rsidR="00CE5A80">
        <w:rPr>
          <w:rFonts w:asciiTheme="minorHAnsi" w:hAnsiTheme="minorHAnsi"/>
          <w:sz w:val="24"/>
          <w:szCs w:val="24"/>
        </w:rPr>
        <w:t xml:space="preserve"> Alaska is now beginning this process. </w:t>
      </w:r>
    </w:p>
    <w:p w14:paraId="33A15623" w14:textId="0DD4DE2D" w:rsidR="0013599E" w:rsidRPr="00F30FA9" w:rsidRDefault="0013599E" w:rsidP="00F30FA9">
      <w:bookmarkStart w:id="11" w:name="_Toc391035970"/>
      <w:r>
        <w:t xml:space="preserve"> </w:t>
      </w:r>
    </w:p>
    <w:p w14:paraId="64987F54" w14:textId="33352A27" w:rsidR="000D1CAE" w:rsidRPr="00F314C1" w:rsidRDefault="001F104F" w:rsidP="002C7DB6">
      <w:pPr>
        <w:pStyle w:val="Heading1"/>
        <w:jc w:val="both"/>
        <w:rPr>
          <w:sz w:val="24"/>
          <w:szCs w:val="24"/>
        </w:rPr>
      </w:pPr>
      <w:r w:rsidRPr="00F314C1">
        <w:rPr>
          <w:sz w:val="24"/>
          <w:szCs w:val="24"/>
        </w:rPr>
        <w:lastRenderedPageBreak/>
        <w:t xml:space="preserve">Fish Consumption in </w:t>
      </w:r>
      <w:r w:rsidR="000D1CAE" w:rsidRPr="00F314C1">
        <w:rPr>
          <w:sz w:val="24"/>
          <w:szCs w:val="24"/>
        </w:rPr>
        <w:t>Alaska</w:t>
      </w:r>
      <w:bookmarkEnd w:id="11"/>
    </w:p>
    <w:p w14:paraId="4DA987F0" w14:textId="627CECDA" w:rsidR="00645FBB" w:rsidRPr="00F314C1" w:rsidRDefault="00645FBB" w:rsidP="002C7DB6">
      <w:pPr>
        <w:jc w:val="both"/>
        <w:rPr>
          <w:rFonts w:asciiTheme="minorHAnsi" w:hAnsiTheme="minorHAnsi"/>
          <w:sz w:val="24"/>
          <w:szCs w:val="24"/>
        </w:rPr>
      </w:pPr>
      <w:r w:rsidRPr="00F314C1">
        <w:rPr>
          <w:rFonts w:asciiTheme="minorHAnsi" w:hAnsiTheme="minorHAnsi"/>
          <w:bCs/>
          <w:sz w:val="24"/>
          <w:szCs w:val="24"/>
        </w:rPr>
        <w:t>Subsistence and personal use fishing are recognized as supporting a traditional way of life for many Alaskans</w:t>
      </w:r>
      <w:r w:rsidR="0079726E" w:rsidRPr="00F314C1">
        <w:rPr>
          <w:rFonts w:asciiTheme="minorHAnsi" w:hAnsiTheme="minorHAnsi"/>
          <w:bCs/>
          <w:sz w:val="24"/>
          <w:szCs w:val="24"/>
        </w:rPr>
        <w:t xml:space="preserve"> (</w:t>
      </w:r>
      <w:proofErr w:type="gramStart"/>
      <w:r w:rsidR="0079726E" w:rsidRPr="00F314C1">
        <w:rPr>
          <w:rFonts w:asciiTheme="minorHAnsi" w:hAnsiTheme="minorHAnsi"/>
          <w:bCs/>
          <w:sz w:val="24"/>
          <w:szCs w:val="24"/>
        </w:rPr>
        <w:t>Fall</w:t>
      </w:r>
      <w:proofErr w:type="gramEnd"/>
      <w:r w:rsidR="0079726E" w:rsidRPr="00F314C1">
        <w:rPr>
          <w:rFonts w:asciiTheme="minorHAnsi" w:hAnsiTheme="minorHAnsi"/>
          <w:bCs/>
          <w:sz w:val="24"/>
          <w:szCs w:val="24"/>
        </w:rPr>
        <w:t>, 2013)</w:t>
      </w:r>
      <w:r w:rsidRPr="00F314C1">
        <w:rPr>
          <w:rStyle w:val="Strong"/>
          <w:rFonts w:asciiTheme="minorHAnsi" w:hAnsiTheme="minorHAnsi"/>
          <w:sz w:val="24"/>
          <w:szCs w:val="24"/>
        </w:rPr>
        <w:t xml:space="preserve">. </w:t>
      </w:r>
      <w:r w:rsidR="00CE5A80">
        <w:rPr>
          <w:rStyle w:val="Strong"/>
          <w:rFonts w:asciiTheme="minorHAnsi" w:hAnsiTheme="minorHAnsi"/>
          <w:b w:val="0"/>
          <w:sz w:val="24"/>
          <w:szCs w:val="24"/>
        </w:rPr>
        <w:t>T</w:t>
      </w:r>
      <w:r w:rsidRPr="00F314C1">
        <w:rPr>
          <w:rStyle w:val="Strong"/>
          <w:rFonts w:asciiTheme="minorHAnsi" w:hAnsiTheme="minorHAnsi"/>
          <w:b w:val="0"/>
          <w:sz w:val="24"/>
          <w:szCs w:val="24"/>
        </w:rPr>
        <w:t xml:space="preserve">he State of </w:t>
      </w:r>
      <w:r w:rsidRPr="00F314C1">
        <w:rPr>
          <w:rFonts w:asciiTheme="minorHAnsi" w:hAnsiTheme="minorHAnsi"/>
          <w:sz w:val="24"/>
          <w:szCs w:val="24"/>
        </w:rPr>
        <w:t xml:space="preserve">Alaska recognizes four types of fisheries: </w:t>
      </w:r>
    </w:p>
    <w:p w14:paraId="7BD0DAD3" w14:textId="77777777" w:rsidR="00645FBB" w:rsidRPr="00F314C1" w:rsidRDefault="00645FBB" w:rsidP="002C7DB6">
      <w:pPr>
        <w:pStyle w:val="ListParagraph"/>
        <w:numPr>
          <w:ilvl w:val="0"/>
          <w:numId w:val="5"/>
        </w:numPr>
        <w:jc w:val="both"/>
        <w:rPr>
          <w:rFonts w:asciiTheme="minorHAnsi" w:hAnsiTheme="minorHAnsi"/>
          <w:sz w:val="24"/>
          <w:szCs w:val="24"/>
        </w:rPr>
      </w:pPr>
      <w:r w:rsidRPr="00F314C1">
        <w:rPr>
          <w:rFonts w:asciiTheme="minorHAnsi" w:hAnsiTheme="minorHAnsi"/>
          <w:b/>
          <w:sz w:val="24"/>
          <w:szCs w:val="24"/>
        </w:rPr>
        <w:t>Commercial fishing</w:t>
      </w:r>
      <w:r w:rsidRPr="00F314C1">
        <w:rPr>
          <w:rFonts w:asciiTheme="minorHAnsi" w:hAnsiTheme="minorHAnsi"/>
          <w:sz w:val="24"/>
          <w:szCs w:val="24"/>
        </w:rPr>
        <w:t xml:space="preserve"> is the taking of fish “with the intent of disposing of them for profit, or by sale, barter, trade or in commercial channels” (AS 16.05.940) (5). </w:t>
      </w:r>
    </w:p>
    <w:p w14:paraId="1667CC49" w14:textId="27668B4A" w:rsidR="00645FBB" w:rsidRPr="00F314C1" w:rsidRDefault="00645FBB" w:rsidP="002C7DB6">
      <w:pPr>
        <w:pStyle w:val="ListParagraph"/>
        <w:numPr>
          <w:ilvl w:val="0"/>
          <w:numId w:val="5"/>
        </w:numPr>
        <w:jc w:val="both"/>
        <w:rPr>
          <w:rFonts w:asciiTheme="minorHAnsi" w:hAnsiTheme="minorHAnsi"/>
          <w:sz w:val="24"/>
          <w:szCs w:val="24"/>
        </w:rPr>
      </w:pPr>
      <w:r w:rsidRPr="00F314C1">
        <w:rPr>
          <w:rFonts w:asciiTheme="minorHAnsi" w:hAnsiTheme="minorHAnsi"/>
          <w:b/>
          <w:sz w:val="24"/>
          <w:szCs w:val="24"/>
        </w:rPr>
        <w:t>Sport fishing</w:t>
      </w:r>
      <w:r w:rsidRPr="00F314C1">
        <w:rPr>
          <w:rFonts w:asciiTheme="minorHAnsi" w:hAnsiTheme="minorHAnsi"/>
          <w:sz w:val="24"/>
          <w:szCs w:val="24"/>
        </w:rPr>
        <w:t xml:space="preserve"> is defined as taking “for personal use, and not for sale or barter, any fresh water, marine or anadromous fish by hook and line held in the hand, or by hook and line with the line attached to a pole or rod which is held in the hand or closely attended or by other means defined by the </w:t>
      </w:r>
      <w:r w:rsidR="003D4EF7" w:rsidRPr="00F314C1">
        <w:rPr>
          <w:rFonts w:asciiTheme="minorHAnsi" w:hAnsiTheme="minorHAnsi"/>
          <w:sz w:val="24"/>
          <w:szCs w:val="24"/>
        </w:rPr>
        <w:t>B</w:t>
      </w:r>
      <w:r w:rsidRPr="00F314C1">
        <w:rPr>
          <w:rFonts w:asciiTheme="minorHAnsi" w:hAnsiTheme="minorHAnsi"/>
          <w:sz w:val="24"/>
          <w:szCs w:val="24"/>
        </w:rPr>
        <w:t xml:space="preserve">oard of </w:t>
      </w:r>
      <w:r w:rsidR="003D4EF7" w:rsidRPr="00F314C1">
        <w:rPr>
          <w:rFonts w:asciiTheme="minorHAnsi" w:hAnsiTheme="minorHAnsi"/>
          <w:sz w:val="24"/>
          <w:szCs w:val="24"/>
        </w:rPr>
        <w:t>F</w:t>
      </w:r>
      <w:r w:rsidRPr="00F314C1">
        <w:rPr>
          <w:rFonts w:asciiTheme="minorHAnsi" w:hAnsiTheme="minorHAnsi"/>
          <w:sz w:val="24"/>
          <w:szCs w:val="24"/>
        </w:rPr>
        <w:t>isheries.” (AS 16.05.940</w:t>
      </w:r>
      <w:r w:rsidR="00F9121B" w:rsidRPr="00F314C1">
        <w:rPr>
          <w:rFonts w:asciiTheme="minorHAnsi" w:hAnsiTheme="minorHAnsi"/>
          <w:sz w:val="24"/>
          <w:szCs w:val="24"/>
        </w:rPr>
        <w:t>)</w:t>
      </w:r>
      <w:r w:rsidRPr="00F314C1">
        <w:rPr>
          <w:rFonts w:asciiTheme="minorHAnsi" w:hAnsiTheme="minorHAnsi"/>
          <w:sz w:val="24"/>
          <w:szCs w:val="24"/>
        </w:rPr>
        <w:t>(30).</w:t>
      </w:r>
    </w:p>
    <w:p w14:paraId="2714DB1F" w14:textId="36C55A4F" w:rsidR="00645FBB" w:rsidRPr="00F314C1" w:rsidRDefault="00645FBB" w:rsidP="002C7DB6">
      <w:pPr>
        <w:pStyle w:val="ListParagraph"/>
        <w:numPr>
          <w:ilvl w:val="0"/>
          <w:numId w:val="5"/>
        </w:numPr>
        <w:jc w:val="both"/>
        <w:rPr>
          <w:rFonts w:asciiTheme="minorHAnsi" w:hAnsiTheme="minorHAnsi"/>
          <w:sz w:val="24"/>
          <w:szCs w:val="24"/>
        </w:rPr>
      </w:pPr>
      <w:r w:rsidRPr="00F314C1">
        <w:rPr>
          <w:rFonts w:asciiTheme="minorHAnsi" w:hAnsiTheme="minorHAnsi"/>
          <w:b/>
          <w:sz w:val="24"/>
          <w:szCs w:val="24"/>
        </w:rPr>
        <w:t>Personal use fishing</w:t>
      </w:r>
      <w:r w:rsidRPr="00F314C1">
        <w:rPr>
          <w:rFonts w:asciiTheme="minorHAnsi" w:hAnsiTheme="minorHAnsi"/>
          <w:sz w:val="24"/>
          <w:szCs w:val="24"/>
        </w:rPr>
        <w:t>, is defined as the taking of fish by Alaska residents for personal use and not for sale or barter with gill o</w:t>
      </w:r>
      <w:r w:rsidR="003D4EF7" w:rsidRPr="00F314C1">
        <w:rPr>
          <w:rFonts w:asciiTheme="minorHAnsi" w:hAnsiTheme="minorHAnsi"/>
          <w:sz w:val="24"/>
          <w:szCs w:val="24"/>
        </w:rPr>
        <w:t>r</w:t>
      </w:r>
      <w:r w:rsidRPr="00F314C1">
        <w:rPr>
          <w:rFonts w:asciiTheme="minorHAnsi" w:hAnsiTheme="minorHAnsi"/>
          <w:sz w:val="24"/>
          <w:szCs w:val="24"/>
        </w:rPr>
        <w:t xml:space="preserve"> dip net, seine, fish wheel, long line or other mean defined by the Board of Fisheries (AS 16.05.940</w:t>
      </w:r>
      <w:r w:rsidR="00F9121B" w:rsidRPr="00F314C1">
        <w:rPr>
          <w:rFonts w:asciiTheme="minorHAnsi" w:hAnsiTheme="minorHAnsi"/>
          <w:sz w:val="24"/>
          <w:szCs w:val="24"/>
        </w:rPr>
        <w:t>)</w:t>
      </w:r>
      <w:r w:rsidRPr="00F314C1">
        <w:rPr>
          <w:rFonts w:asciiTheme="minorHAnsi" w:hAnsiTheme="minorHAnsi"/>
          <w:sz w:val="24"/>
          <w:szCs w:val="24"/>
        </w:rPr>
        <w:t>(2</w:t>
      </w:r>
      <w:r w:rsidR="00F9121B" w:rsidRPr="00F314C1">
        <w:rPr>
          <w:rFonts w:asciiTheme="minorHAnsi" w:hAnsiTheme="minorHAnsi"/>
          <w:sz w:val="24"/>
          <w:szCs w:val="24"/>
        </w:rPr>
        <w:t>5</w:t>
      </w:r>
      <w:r w:rsidRPr="00F314C1">
        <w:rPr>
          <w:rFonts w:asciiTheme="minorHAnsi" w:hAnsiTheme="minorHAnsi"/>
          <w:sz w:val="24"/>
          <w:szCs w:val="24"/>
        </w:rPr>
        <w:t>) and;</w:t>
      </w:r>
    </w:p>
    <w:p w14:paraId="00B14B83" w14:textId="49D9B8A5" w:rsidR="00645FBB" w:rsidRPr="00F314C1" w:rsidRDefault="00645FBB" w:rsidP="00F314C1">
      <w:pPr>
        <w:pStyle w:val="ListParagraph"/>
        <w:numPr>
          <w:ilvl w:val="0"/>
          <w:numId w:val="5"/>
        </w:numPr>
        <w:jc w:val="both"/>
        <w:rPr>
          <w:rFonts w:asciiTheme="minorHAnsi" w:hAnsiTheme="minorHAnsi"/>
          <w:sz w:val="24"/>
          <w:szCs w:val="24"/>
        </w:rPr>
      </w:pPr>
      <w:r w:rsidRPr="00F314C1">
        <w:rPr>
          <w:rFonts w:asciiTheme="minorHAnsi" w:hAnsiTheme="minorHAnsi"/>
          <w:b/>
          <w:sz w:val="24"/>
          <w:szCs w:val="24"/>
        </w:rPr>
        <w:t>Subsistence fishing</w:t>
      </w:r>
      <w:r w:rsidRPr="00F314C1">
        <w:rPr>
          <w:rFonts w:asciiTheme="minorHAnsi" w:hAnsiTheme="minorHAnsi"/>
          <w:sz w:val="24"/>
          <w:szCs w:val="24"/>
        </w:rPr>
        <w:t>, is defined as the “</w:t>
      </w:r>
      <w:r w:rsidR="00F9121B" w:rsidRPr="00F314C1">
        <w:rPr>
          <w:rFonts w:asciiTheme="minorHAnsi" w:hAnsiTheme="minorHAnsi"/>
          <w:sz w:val="24"/>
          <w:szCs w:val="24"/>
        </w:rPr>
        <w:t>the taking of, fishing for, or possession of fish, shellfish, or other fisheries resources by a resident domiciled in a rural area of the state for subsistence uses with gill net, seine, fish wheel, long line, or other means defined by the Board of Fisheries.”(AS 16.05.940(31))</w:t>
      </w:r>
      <w:r w:rsidRPr="00F314C1">
        <w:rPr>
          <w:rFonts w:asciiTheme="minorHAnsi" w:hAnsiTheme="minorHAnsi"/>
          <w:sz w:val="24"/>
          <w:szCs w:val="24"/>
        </w:rPr>
        <w:t>. According to Alaska State Regulation, subsistence uses of wild resources are defined as 'noncommercial, customary and traditional uses' for a variety of purposes” (AS 16.05.940</w:t>
      </w:r>
      <w:r w:rsidR="003D4EF7" w:rsidRPr="00F314C1">
        <w:rPr>
          <w:rFonts w:asciiTheme="minorHAnsi" w:hAnsiTheme="minorHAnsi"/>
          <w:sz w:val="24"/>
          <w:szCs w:val="24"/>
        </w:rPr>
        <w:t>)</w:t>
      </w:r>
      <w:r w:rsidRPr="00F314C1">
        <w:rPr>
          <w:rFonts w:asciiTheme="minorHAnsi" w:hAnsiTheme="minorHAnsi"/>
          <w:sz w:val="24"/>
          <w:szCs w:val="24"/>
        </w:rPr>
        <w:t xml:space="preserve"> (3</w:t>
      </w:r>
      <w:r w:rsidR="00F9121B" w:rsidRPr="00F314C1">
        <w:rPr>
          <w:rFonts w:asciiTheme="minorHAnsi" w:hAnsiTheme="minorHAnsi"/>
          <w:sz w:val="24"/>
          <w:szCs w:val="24"/>
        </w:rPr>
        <w:t>3</w:t>
      </w:r>
      <w:r w:rsidRPr="00F314C1">
        <w:rPr>
          <w:rFonts w:asciiTheme="minorHAnsi" w:hAnsiTheme="minorHAnsi"/>
          <w:sz w:val="24"/>
          <w:szCs w:val="24"/>
        </w:rPr>
        <w:t xml:space="preserve">). </w:t>
      </w:r>
    </w:p>
    <w:p w14:paraId="4A7FBAF0" w14:textId="494D9713" w:rsidR="00FF677A" w:rsidRPr="00F314C1" w:rsidRDefault="00647FD5" w:rsidP="00FF677A">
      <w:pPr>
        <w:pStyle w:val="Default"/>
        <w:spacing w:before="120" w:after="200" w:line="264" w:lineRule="auto"/>
        <w:rPr>
          <w:rFonts w:asciiTheme="minorHAnsi" w:hAnsiTheme="minorHAnsi"/>
        </w:rPr>
      </w:pPr>
      <w:r w:rsidRPr="00F314C1">
        <w:rPr>
          <w:rFonts w:asciiTheme="minorHAnsi" w:hAnsiTheme="minorHAnsi"/>
        </w:rPr>
        <w:t xml:space="preserve">The Alaska Department of Health and Social Services (DHSS) promotes fish consumption guidelines based on a risk management strategy. This strategy is implemented by weighing the risks of mercury exposure against the health benefits of fish consumption to develop consumption guidance that is both balanced and protective. To evaluate mercury exposure, DHSS uses information from the ADEC Fish Monitoring Program and the Statewide Maternal Hair Mercury </w:t>
      </w:r>
      <w:proofErr w:type="spellStart"/>
      <w:r w:rsidRPr="00F314C1">
        <w:rPr>
          <w:rFonts w:asciiTheme="minorHAnsi" w:hAnsiTheme="minorHAnsi"/>
        </w:rPr>
        <w:t>Biomonitoring</w:t>
      </w:r>
      <w:proofErr w:type="spellEnd"/>
      <w:r w:rsidRPr="00F314C1">
        <w:rPr>
          <w:rFonts w:asciiTheme="minorHAnsi" w:hAnsiTheme="minorHAnsi"/>
        </w:rPr>
        <w:t xml:space="preserve"> Program</w:t>
      </w:r>
      <w:r w:rsidR="002B4B7D" w:rsidRPr="00F314C1">
        <w:rPr>
          <w:rFonts w:asciiTheme="minorHAnsi" w:hAnsiTheme="minorHAnsi"/>
        </w:rPr>
        <w:t>,</w:t>
      </w:r>
      <w:r w:rsidRPr="00F314C1">
        <w:rPr>
          <w:rFonts w:asciiTheme="minorHAnsi" w:hAnsiTheme="minorHAnsi"/>
        </w:rPr>
        <w:t xml:space="preserve"> which monitors levels of mercury in the hair of pregnant Alaskans.</w:t>
      </w:r>
      <w:r w:rsidR="0061678C" w:rsidRPr="00F314C1">
        <w:t xml:space="preserve"> </w:t>
      </w:r>
      <w:r w:rsidR="0061678C" w:rsidRPr="00F314C1">
        <w:rPr>
          <w:rFonts w:asciiTheme="minorHAnsi" w:hAnsiTheme="minorHAnsi"/>
        </w:rPr>
        <w:t xml:space="preserve">Elevated levels of mercury may affect how children behave, learn, think and solve problems later in life. Thus, </w:t>
      </w:r>
      <w:proofErr w:type="spellStart"/>
      <w:r w:rsidR="0061678C" w:rsidRPr="00F314C1">
        <w:rPr>
          <w:rFonts w:asciiTheme="minorHAnsi" w:hAnsiTheme="minorHAnsi"/>
        </w:rPr>
        <w:t>neonatel</w:t>
      </w:r>
      <w:proofErr w:type="spellEnd"/>
      <w:r w:rsidR="0061678C" w:rsidRPr="00F314C1">
        <w:rPr>
          <w:rFonts w:asciiTheme="minorHAnsi" w:hAnsiTheme="minorHAnsi"/>
        </w:rPr>
        <w:t xml:space="preserve"> and young </w:t>
      </w:r>
      <w:proofErr w:type="spellStart"/>
      <w:r w:rsidR="0061678C" w:rsidRPr="00F314C1">
        <w:rPr>
          <w:rFonts w:asciiTheme="minorHAnsi" w:hAnsiTheme="minorHAnsi"/>
        </w:rPr>
        <w:t>childern</w:t>
      </w:r>
      <w:proofErr w:type="spellEnd"/>
      <w:r w:rsidR="0061678C" w:rsidRPr="00F314C1">
        <w:rPr>
          <w:rFonts w:asciiTheme="minorHAnsi" w:hAnsiTheme="minorHAnsi"/>
        </w:rPr>
        <w:t xml:space="preserve"> may be exposed to greatest risk for adverse health effects from mercury exposure (DHSS, 2007).</w:t>
      </w:r>
      <w:r w:rsidR="0061678C" w:rsidRPr="00F314C1">
        <w:t xml:space="preserve"> </w:t>
      </w:r>
      <w:r w:rsidRPr="00F314C1">
        <w:rPr>
          <w:rFonts w:asciiTheme="minorHAnsi" w:hAnsiTheme="minorHAnsi"/>
        </w:rPr>
        <w:t xml:space="preserve"> </w:t>
      </w:r>
      <w:r w:rsidR="0061678C" w:rsidRPr="00F314C1">
        <w:rPr>
          <w:rFonts w:asciiTheme="minorHAnsi" w:hAnsiTheme="minorHAnsi"/>
        </w:rPr>
        <w:t xml:space="preserve">Mercury </w:t>
      </w:r>
      <w:proofErr w:type="spellStart"/>
      <w:r w:rsidR="0061678C" w:rsidRPr="00F314C1">
        <w:rPr>
          <w:rFonts w:asciiTheme="minorHAnsi" w:hAnsiTheme="minorHAnsi"/>
        </w:rPr>
        <w:t>biomonitoring</w:t>
      </w:r>
      <w:proofErr w:type="spellEnd"/>
      <w:r w:rsidR="0061678C" w:rsidRPr="00F314C1">
        <w:rPr>
          <w:rFonts w:asciiTheme="minorHAnsi" w:hAnsiTheme="minorHAnsi"/>
        </w:rPr>
        <w:t xml:space="preserve"> provides </w:t>
      </w:r>
      <w:r w:rsidRPr="00F314C1">
        <w:rPr>
          <w:rFonts w:asciiTheme="minorHAnsi" w:hAnsiTheme="minorHAnsi"/>
        </w:rPr>
        <w:t>public health officials</w:t>
      </w:r>
      <w:r w:rsidR="0061678C" w:rsidRPr="00F314C1">
        <w:rPr>
          <w:rFonts w:asciiTheme="minorHAnsi" w:hAnsiTheme="minorHAnsi"/>
        </w:rPr>
        <w:t xml:space="preserve"> with</w:t>
      </w:r>
      <w:r w:rsidRPr="00F314C1">
        <w:rPr>
          <w:rFonts w:asciiTheme="minorHAnsi" w:hAnsiTheme="minorHAnsi"/>
        </w:rPr>
        <w:t xml:space="preserve"> direct information about the degree of mercury exposure occurring in the most vulnerable</w:t>
      </w:r>
      <w:r w:rsidR="0061678C" w:rsidRPr="00F314C1">
        <w:rPr>
          <w:rFonts w:asciiTheme="minorHAnsi" w:hAnsiTheme="minorHAnsi"/>
        </w:rPr>
        <w:t xml:space="preserve"> </w:t>
      </w:r>
      <w:r w:rsidRPr="00F314C1">
        <w:rPr>
          <w:rFonts w:asciiTheme="minorHAnsi" w:hAnsiTheme="minorHAnsi"/>
        </w:rPr>
        <w:t>subpopulation</w:t>
      </w:r>
      <w:proofErr w:type="gramStart"/>
      <w:r w:rsidR="0061678C" w:rsidRPr="00F314C1">
        <w:rPr>
          <w:rFonts w:asciiTheme="minorHAnsi" w:hAnsiTheme="minorHAnsi"/>
        </w:rPr>
        <w:t>.</w:t>
      </w:r>
      <w:r w:rsidR="00FF677A" w:rsidRPr="00F314C1">
        <w:rPr>
          <w:rFonts w:asciiTheme="minorHAnsi" w:hAnsiTheme="minorHAnsi"/>
        </w:rPr>
        <w:t>.</w:t>
      </w:r>
      <w:proofErr w:type="gramEnd"/>
      <w:r w:rsidR="00FF677A" w:rsidRPr="00F314C1">
        <w:rPr>
          <w:rFonts w:asciiTheme="minorHAnsi" w:hAnsiTheme="minorHAnsi"/>
        </w:rPr>
        <w:t xml:space="preserve"> The intent of the DHSS </w:t>
      </w:r>
      <w:r w:rsidRPr="00F314C1">
        <w:rPr>
          <w:rFonts w:asciiTheme="minorHAnsi" w:hAnsiTheme="minorHAnsi"/>
        </w:rPr>
        <w:t>consumption guidelines is to assist individuals, families</w:t>
      </w:r>
      <w:r w:rsidR="00571E3E" w:rsidRPr="00F314C1">
        <w:rPr>
          <w:rFonts w:asciiTheme="minorHAnsi" w:hAnsiTheme="minorHAnsi"/>
        </w:rPr>
        <w:t>,</w:t>
      </w:r>
      <w:r w:rsidRPr="00F314C1">
        <w:rPr>
          <w:rFonts w:asciiTheme="minorHAnsi" w:hAnsiTheme="minorHAnsi"/>
        </w:rPr>
        <w:t xml:space="preserve"> and communities in Alaska as they make decisions about fish consumption. The DHSS guidelines are not intended to influence </w:t>
      </w:r>
      <w:r w:rsidR="00571E3E" w:rsidRPr="00F314C1">
        <w:rPr>
          <w:rFonts w:asciiTheme="minorHAnsi" w:hAnsiTheme="minorHAnsi"/>
        </w:rPr>
        <w:t xml:space="preserve">the development of </w:t>
      </w:r>
      <w:r w:rsidR="00D31726">
        <w:rPr>
          <w:rFonts w:asciiTheme="minorHAnsi" w:hAnsiTheme="minorHAnsi"/>
        </w:rPr>
        <w:t>HHC</w:t>
      </w:r>
      <w:r w:rsidR="00D31726" w:rsidRPr="00F314C1">
        <w:rPr>
          <w:rFonts w:asciiTheme="minorHAnsi" w:hAnsiTheme="minorHAnsi"/>
        </w:rPr>
        <w:t xml:space="preserve"> </w:t>
      </w:r>
      <w:r w:rsidRPr="00F314C1">
        <w:rPr>
          <w:rFonts w:asciiTheme="minorHAnsi" w:hAnsiTheme="minorHAnsi"/>
        </w:rPr>
        <w:t>or other regulatory standards</w:t>
      </w:r>
      <w:r w:rsidR="00FF677A" w:rsidRPr="00F314C1">
        <w:rPr>
          <w:rFonts w:asciiTheme="minorHAnsi" w:hAnsiTheme="minorHAnsi"/>
        </w:rPr>
        <w:t xml:space="preserve"> (DHSS, 2007)</w:t>
      </w:r>
      <w:r w:rsidRPr="00F314C1">
        <w:rPr>
          <w:rFonts w:asciiTheme="minorHAnsi" w:hAnsiTheme="minorHAnsi"/>
        </w:rPr>
        <w:t xml:space="preserve">. </w:t>
      </w:r>
    </w:p>
    <w:p w14:paraId="2CAA9CFC" w14:textId="3C95C8F3" w:rsidR="00645FBB" w:rsidRPr="00F314C1" w:rsidRDefault="00647FD5" w:rsidP="00FF677A">
      <w:pPr>
        <w:pStyle w:val="Default"/>
        <w:spacing w:before="120" w:after="200" w:line="264" w:lineRule="auto"/>
        <w:rPr>
          <w:rFonts w:asciiTheme="minorHAnsi" w:hAnsiTheme="minorHAnsi"/>
        </w:rPr>
      </w:pPr>
      <w:r w:rsidRPr="00F314C1">
        <w:rPr>
          <w:rFonts w:asciiTheme="minorHAnsi" w:hAnsiTheme="minorHAnsi"/>
        </w:rPr>
        <w:t xml:space="preserve">Currently, </w:t>
      </w:r>
      <w:r w:rsidR="00645FBB" w:rsidRPr="00F314C1">
        <w:rPr>
          <w:rFonts w:asciiTheme="minorHAnsi" w:hAnsiTheme="minorHAnsi"/>
        </w:rPr>
        <w:t>DHSS does not recommend restrictions on fish consumptions for certain populations such as teenage boys, adult men, and women who cannot become pregnant (DHSS, 2007). This</w:t>
      </w:r>
      <w:r w:rsidR="00610748" w:rsidRPr="00F314C1">
        <w:rPr>
          <w:rFonts w:asciiTheme="minorHAnsi" w:hAnsiTheme="minorHAnsi"/>
        </w:rPr>
        <w:t xml:space="preserve"> </w:t>
      </w:r>
      <w:r w:rsidR="00645FBB" w:rsidRPr="00F314C1">
        <w:rPr>
          <w:rFonts w:asciiTheme="minorHAnsi" w:hAnsiTheme="minorHAnsi"/>
        </w:rPr>
        <w:t xml:space="preserve">recommendation is due to the benefits (both health-related and cultural) of fish consumption by Alaskans. Women who are or can become pregnant, nursing mothers, and children aged 12 years and under are generally advised to continue unrestricted fish consumption from Alaskan </w:t>
      </w:r>
      <w:r w:rsidR="00645FBB" w:rsidRPr="00F314C1">
        <w:rPr>
          <w:rFonts w:asciiTheme="minorHAnsi" w:hAnsiTheme="minorHAnsi"/>
        </w:rPr>
        <w:lastRenderedPageBreak/>
        <w:t>waters that are low in mercury, although some restrictions are advised for species such as salmon shark, dogfish</w:t>
      </w:r>
      <w:r w:rsidR="003C405E" w:rsidRPr="00F314C1">
        <w:rPr>
          <w:rFonts w:asciiTheme="minorHAnsi" w:hAnsiTheme="minorHAnsi"/>
        </w:rPr>
        <w:t>,</w:t>
      </w:r>
      <w:r w:rsidR="00645FBB" w:rsidRPr="00F314C1">
        <w:rPr>
          <w:rFonts w:asciiTheme="minorHAnsi" w:hAnsiTheme="minorHAnsi"/>
        </w:rPr>
        <w:t xml:space="preserve"> and large halibut (&gt;90 pounds) that are known to have elevated mercury levels (DHSS, 2007).</w:t>
      </w:r>
    </w:p>
    <w:p w14:paraId="64987F5D" w14:textId="1044A403" w:rsidR="003D0618" w:rsidRPr="00F314C1" w:rsidRDefault="00645FBB" w:rsidP="002C7DB6">
      <w:pPr>
        <w:jc w:val="both"/>
        <w:rPr>
          <w:rFonts w:asciiTheme="minorHAnsi" w:hAnsiTheme="minorHAnsi"/>
          <w:sz w:val="24"/>
          <w:szCs w:val="24"/>
        </w:rPr>
      </w:pPr>
      <w:r w:rsidRPr="00F314C1">
        <w:rPr>
          <w:rFonts w:asciiTheme="minorHAnsi" w:hAnsiTheme="minorHAnsi"/>
          <w:sz w:val="24"/>
          <w:szCs w:val="24"/>
        </w:rPr>
        <w:t xml:space="preserve">DHSS has estimated that FCRs in some Alaskan villages may be more than 10 times greater than the 6.5 g/day consumption rate currently used in </w:t>
      </w:r>
      <w:r w:rsidR="00415C46">
        <w:rPr>
          <w:rFonts w:asciiTheme="minorHAnsi" w:hAnsiTheme="minorHAnsi"/>
          <w:sz w:val="24"/>
          <w:szCs w:val="24"/>
        </w:rPr>
        <w:t xml:space="preserve">the derivation of </w:t>
      </w:r>
      <w:r w:rsidRPr="00F314C1">
        <w:rPr>
          <w:rFonts w:asciiTheme="minorHAnsi" w:hAnsiTheme="minorHAnsi"/>
          <w:sz w:val="24"/>
          <w:szCs w:val="24"/>
        </w:rPr>
        <w:t xml:space="preserve">Alaska </w:t>
      </w:r>
      <w:r w:rsidR="00ED5C39">
        <w:rPr>
          <w:rFonts w:asciiTheme="minorHAnsi" w:hAnsiTheme="minorHAnsi"/>
          <w:sz w:val="24"/>
          <w:szCs w:val="24"/>
        </w:rPr>
        <w:t>HHC</w:t>
      </w:r>
      <w:r w:rsidR="00ED5C39" w:rsidRPr="00F314C1">
        <w:rPr>
          <w:rFonts w:asciiTheme="minorHAnsi" w:hAnsiTheme="minorHAnsi"/>
          <w:sz w:val="24"/>
          <w:szCs w:val="24"/>
        </w:rPr>
        <w:t xml:space="preserve"> </w:t>
      </w:r>
      <w:r w:rsidR="0061678C" w:rsidRPr="00F314C1">
        <w:rPr>
          <w:rFonts w:asciiTheme="minorHAnsi" w:hAnsiTheme="minorHAnsi"/>
          <w:sz w:val="24"/>
          <w:szCs w:val="24"/>
        </w:rPr>
        <w:t>(DHSS, 2007)</w:t>
      </w:r>
      <w:r w:rsidRPr="00F314C1">
        <w:rPr>
          <w:rFonts w:asciiTheme="minorHAnsi" w:hAnsiTheme="minorHAnsi"/>
          <w:sz w:val="24"/>
          <w:szCs w:val="24"/>
        </w:rPr>
        <w:t>. Given EPA’s current nationally recommended default FCR of 17.5 g/day (</w:t>
      </w:r>
      <w:r w:rsidRPr="005C5AC9">
        <w:rPr>
          <w:rFonts w:asciiTheme="minorHAnsi" w:hAnsiTheme="minorHAnsi"/>
          <w:i/>
          <w:sz w:val="24"/>
          <w:szCs w:val="24"/>
        </w:rPr>
        <w:t>note</w:t>
      </w:r>
      <w:r w:rsidRPr="00F314C1">
        <w:rPr>
          <w:rFonts w:asciiTheme="minorHAnsi" w:hAnsiTheme="minorHAnsi"/>
          <w:sz w:val="24"/>
          <w:szCs w:val="24"/>
        </w:rPr>
        <w:t xml:space="preserve"> that the 2014 22 g/day was in draft form at the time this report was prepared), ADEC recognizes the potential need to update the FCR used in deriving the state’s </w:t>
      </w:r>
      <w:r w:rsidR="00D31726">
        <w:rPr>
          <w:rFonts w:asciiTheme="minorHAnsi" w:hAnsiTheme="minorHAnsi"/>
          <w:sz w:val="24"/>
          <w:szCs w:val="24"/>
        </w:rPr>
        <w:t>HHC</w:t>
      </w:r>
      <w:r w:rsidR="00D31726" w:rsidRPr="00F314C1">
        <w:rPr>
          <w:rFonts w:asciiTheme="minorHAnsi" w:hAnsiTheme="minorHAnsi"/>
          <w:sz w:val="24"/>
          <w:szCs w:val="24"/>
        </w:rPr>
        <w:t xml:space="preserve"> </w:t>
      </w:r>
      <w:r w:rsidRPr="00F314C1">
        <w:rPr>
          <w:rFonts w:asciiTheme="minorHAnsi" w:hAnsiTheme="minorHAnsi"/>
          <w:sz w:val="24"/>
          <w:szCs w:val="24"/>
        </w:rPr>
        <w:t xml:space="preserve">to better protect Alaskan populations from contaminants in </w:t>
      </w:r>
      <w:r w:rsidR="00CD0B6B" w:rsidRPr="00F314C1">
        <w:rPr>
          <w:rFonts w:asciiTheme="minorHAnsi" w:hAnsiTheme="minorHAnsi"/>
          <w:sz w:val="24"/>
          <w:szCs w:val="24"/>
        </w:rPr>
        <w:t>aquatic life.</w:t>
      </w:r>
      <w:r w:rsidRPr="00F314C1">
        <w:rPr>
          <w:rFonts w:asciiTheme="minorHAnsi" w:hAnsiTheme="minorHAnsi"/>
          <w:sz w:val="24"/>
          <w:szCs w:val="24"/>
        </w:rPr>
        <w:t xml:space="preserve"> </w:t>
      </w:r>
      <w:r w:rsidR="00CD0B6B" w:rsidRPr="00F314C1">
        <w:rPr>
          <w:rFonts w:asciiTheme="minorHAnsi" w:hAnsiTheme="minorHAnsi"/>
          <w:sz w:val="24"/>
          <w:szCs w:val="24"/>
        </w:rPr>
        <w:t xml:space="preserve"> </w:t>
      </w:r>
      <w:proofErr w:type="gramStart"/>
      <w:r w:rsidR="00CD0B6B" w:rsidRPr="00F314C1">
        <w:rPr>
          <w:rFonts w:asciiTheme="minorHAnsi" w:hAnsiTheme="minorHAnsi"/>
          <w:sz w:val="24"/>
          <w:szCs w:val="24"/>
        </w:rPr>
        <w:t>and</w:t>
      </w:r>
      <w:proofErr w:type="gramEnd"/>
      <w:r w:rsidR="00CD0B6B" w:rsidRPr="00F314C1">
        <w:rPr>
          <w:rFonts w:asciiTheme="minorHAnsi" w:hAnsiTheme="minorHAnsi"/>
          <w:sz w:val="24"/>
          <w:szCs w:val="24"/>
        </w:rPr>
        <w:t xml:space="preserve"> has identified research of fish consumption rates to be high priority issue</w:t>
      </w:r>
      <w:r w:rsidR="00B6608B">
        <w:rPr>
          <w:rFonts w:asciiTheme="minorHAnsi" w:hAnsiTheme="minorHAnsi"/>
          <w:sz w:val="24"/>
          <w:szCs w:val="24"/>
        </w:rPr>
        <w:t xml:space="preserve"> (citation needed?).</w:t>
      </w:r>
      <w:r w:rsidR="00CD0B6B" w:rsidRPr="00F314C1">
        <w:rPr>
          <w:rFonts w:asciiTheme="minorHAnsi" w:hAnsiTheme="minorHAnsi"/>
          <w:sz w:val="24"/>
          <w:szCs w:val="24"/>
        </w:rPr>
        <w:t xml:space="preserve"> </w:t>
      </w:r>
    </w:p>
    <w:p w14:paraId="64987F5E" w14:textId="77777777" w:rsidR="000D1CAE" w:rsidRPr="00F314C1" w:rsidRDefault="000D1CAE" w:rsidP="00DD543F">
      <w:pPr>
        <w:pStyle w:val="SectionHeader"/>
        <w:keepNext/>
        <w:rPr>
          <w:sz w:val="24"/>
          <w:szCs w:val="24"/>
        </w:rPr>
      </w:pPr>
      <w:bookmarkStart w:id="12" w:name="_Toc390121642"/>
      <w:bookmarkStart w:id="13" w:name="_Toc390121733"/>
      <w:bookmarkStart w:id="14" w:name="_Toc390121870"/>
      <w:bookmarkStart w:id="15" w:name="_Toc391035971"/>
      <w:r w:rsidRPr="00F314C1">
        <w:rPr>
          <w:sz w:val="24"/>
          <w:szCs w:val="24"/>
        </w:rPr>
        <w:t>Research Methods</w:t>
      </w:r>
      <w:bookmarkEnd w:id="12"/>
      <w:bookmarkEnd w:id="13"/>
      <w:bookmarkEnd w:id="14"/>
      <w:bookmarkEnd w:id="15"/>
    </w:p>
    <w:p w14:paraId="64987F5F" w14:textId="0FBAB55F" w:rsidR="006F4CE7" w:rsidRPr="00F314C1" w:rsidRDefault="006F4CE7" w:rsidP="00B303CC">
      <w:pPr>
        <w:keepNext/>
        <w:jc w:val="both"/>
        <w:rPr>
          <w:rFonts w:asciiTheme="minorHAnsi" w:hAnsiTheme="minorHAnsi"/>
          <w:sz w:val="24"/>
          <w:szCs w:val="24"/>
        </w:rPr>
      </w:pPr>
      <w:r w:rsidRPr="00F314C1">
        <w:rPr>
          <w:rFonts w:asciiTheme="minorHAnsi" w:hAnsiTheme="minorHAnsi"/>
          <w:sz w:val="24"/>
          <w:szCs w:val="24"/>
        </w:rPr>
        <w:t xml:space="preserve">The research methods described below were used to perform a comprehensive search of scientific information and existing data on fish </w:t>
      </w:r>
      <w:r w:rsidR="0079726E" w:rsidRPr="00F314C1">
        <w:rPr>
          <w:rFonts w:asciiTheme="minorHAnsi" w:hAnsiTheme="minorHAnsi"/>
          <w:sz w:val="24"/>
          <w:szCs w:val="24"/>
        </w:rPr>
        <w:t xml:space="preserve">and shellfish </w:t>
      </w:r>
      <w:r w:rsidRPr="00F314C1">
        <w:rPr>
          <w:rFonts w:asciiTheme="minorHAnsi" w:hAnsiTheme="minorHAnsi"/>
          <w:sz w:val="24"/>
          <w:szCs w:val="24"/>
        </w:rPr>
        <w:t xml:space="preserve">consumption in Alaska, including dietary surveys and fish harvest data. </w:t>
      </w:r>
      <w:r w:rsidR="005F086D" w:rsidRPr="00F314C1">
        <w:rPr>
          <w:rFonts w:asciiTheme="minorHAnsi" w:hAnsiTheme="minorHAnsi"/>
          <w:sz w:val="24"/>
          <w:szCs w:val="24"/>
        </w:rPr>
        <w:t xml:space="preserve">Several sources of information were obtained directly from government staff and other </w:t>
      </w:r>
      <w:r w:rsidR="00691B3C" w:rsidRPr="00F314C1">
        <w:rPr>
          <w:rFonts w:asciiTheme="minorHAnsi" w:hAnsiTheme="minorHAnsi"/>
          <w:sz w:val="24"/>
          <w:szCs w:val="24"/>
        </w:rPr>
        <w:t xml:space="preserve">technical </w:t>
      </w:r>
      <w:r w:rsidR="005F086D" w:rsidRPr="00F314C1">
        <w:rPr>
          <w:rFonts w:asciiTheme="minorHAnsi" w:hAnsiTheme="minorHAnsi"/>
          <w:sz w:val="24"/>
          <w:szCs w:val="24"/>
        </w:rPr>
        <w:t xml:space="preserve">experts; additional sources were identified using traditional literature search techniques. </w:t>
      </w:r>
      <w:r w:rsidR="00C751B3" w:rsidRPr="00F314C1">
        <w:rPr>
          <w:rFonts w:asciiTheme="minorHAnsi" w:hAnsiTheme="minorHAnsi"/>
          <w:sz w:val="24"/>
          <w:szCs w:val="24"/>
        </w:rPr>
        <w:t>The subsequent sections of th</w:t>
      </w:r>
      <w:r w:rsidR="005F086D" w:rsidRPr="00F314C1">
        <w:rPr>
          <w:rFonts w:asciiTheme="minorHAnsi" w:hAnsiTheme="minorHAnsi"/>
          <w:sz w:val="24"/>
          <w:szCs w:val="24"/>
        </w:rPr>
        <w:t>is</w:t>
      </w:r>
      <w:r w:rsidR="00C751B3" w:rsidRPr="00F314C1">
        <w:rPr>
          <w:rFonts w:asciiTheme="minorHAnsi" w:hAnsiTheme="minorHAnsi"/>
          <w:sz w:val="24"/>
          <w:szCs w:val="24"/>
        </w:rPr>
        <w:t xml:space="preserve"> report provide</w:t>
      </w:r>
      <w:r w:rsidRPr="00F314C1">
        <w:rPr>
          <w:rFonts w:asciiTheme="minorHAnsi" w:hAnsiTheme="minorHAnsi"/>
          <w:sz w:val="24"/>
          <w:szCs w:val="24"/>
        </w:rPr>
        <w:t xml:space="preserve"> a literary analysis of</w:t>
      </w:r>
      <w:r w:rsidR="00C751B3" w:rsidRPr="00F314C1">
        <w:rPr>
          <w:rFonts w:asciiTheme="minorHAnsi" w:hAnsiTheme="minorHAnsi"/>
          <w:sz w:val="24"/>
          <w:szCs w:val="24"/>
        </w:rPr>
        <w:t xml:space="preserve"> the </w:t>
      </w:r>
      <w:r w:rsidR="004C451E" w:rsidRPr="00F314C1">
        <w:rPr>
          <w:rFonts w:asciiTheme="minorHAnsi" w:hAnsiTheme="minorHAnsi"/>
          <w:sz w:val="24"/>
          <w:szCs w:val="24"/>
        </w:rPr>
        <w:t>information acquired during the research phase of the project</w:t>
      </w:r>
      <w:r w:rsidRPr="00F314C1">
        <w:rPr>
          <w:rFonts w:asciiTheme="minorHAnsi" w:hAnsiTheme="minorHAnsi"/>
          <w:sz w:val="24"/>
          <w:szCs w:val="24"/>
        </w:rPr>
        <w:t xml:space="preserve">. </w:t>
      </w:r>
    </w:p>
    <w:p w14:paraId="64987F60" w14:textId="77777777" w:rsidR="000D1CAE" w:rsidRPr="00F314C1" w:rsidRDefault="000D1CAE" w:rsidP="00B303CC">
      <w:pPr>
        <w:pStyle w:val="Heading1"/>
        <w:jc w:val="both"/>
        <w:rPr>
          <w:sz w:val="24"/>
          <w:szCs w:val="24"/>
        </w:rPr>
      </w:pPr>
      <w:bookmarkStart w:id="16" w:name="_Toc391035972"/>
      <w:r w:rsidRPr="00F314C1">
        <w:rPr>
          <w:sz w:val="24"/>
          <w:szCs w:val="24"/>
        </w:rPr>
        <w:t>Literature Search</w:t>
      </w:r>
      <w:bookmarkEnd w:id="16"/>
    </w:p>
    <w:p w14:paraId="21DF1831" w14:textId="0934EC99" w:rsidR="00673A48" w:rsidRPr="00F314C1" w:rsidRDefault="00EB3C36" w:rsidP="00B303CC">
      <w:pPr>
        <w:pStyle w:val="Heading4"/>
        <w:jc w:val="both"/>
        <w:rPr>
          <w:rFonts w:asciiTheme="minorHAnsi" w:hAnsiTheme="minorHAnsi"/>
          <w:i w:val="0"/>
          <w:sz w:val="24"/>
          <w:szCs w:val="24"/>
        </w:rPr>
      </w:pPr>
      <w:r w:rsidRPr="00F314C1">
        <w:rPr>
          <w:rFonts w:asciiTheme="minorHAnsi" w:hAnsiTheme="minorHAnsi"/>
          <w:i w:val="0"/>
          <w:sz w:val="24"/>
          <w:szCs w:val="24"/>
        </w:rPr>
        <w:t xml:space="preserve">A search for available information was performed </w:t>
      </w:r>
      <w:r w:rsidR="00B303CC" w:rsidRPr="00F314C1">
        <w:rPr>
          <w:rFonts w:asciiTheme="minorHAnsi" w:hAnsiTheme="minorHAnsi"/>
          <w:i w:val="0"/>
          <w:sz w:val="24"/>
          <w:szCs w:val="24"/>
        </w:rPr>
        <w:t xml:space="preserve">using </w:t>
      </w:r>
      <w:r w:rsidRPr="00F314C1">
        <w:rPr>
          <w:rFonts w:asciiTheme="minorHAnsi" w:hAnsiTheme="minorHAnsi"/>
          <w:i w:val="0"/>
          <w:sz w:val="24"/>
          <w:szCs w:val="24"/>
        </w:rPr>
        <w:t>online search engines (e.g., Web of Science, Google Scholar</w:t>
      </w:r>
      <w:r w:rsidR="005F086D" w:rsidRPr="00F314C1">
        <w:rPr>
          <w:rFonts w:asciiTheme="minorHAnsi" w:hAnsiTheme="minorHAnsi"/>
          <w:i w:val="0"/>
          <w:sz w:val="24"/>
          <w:szCs w:val="24"/>
        </w:rPr>
        <w:t>,</w:t>
      </w:r>
      <w:r w:rsidRPr="00F314C1">
        <w:rPr>
          <w:rFonts w:asciiTheme="minorHAnsi" w:hAnsiTheme="minorHAnsi"/>
          <w:i w:val="0"/>
          <w:sz w:val="24"/>
          <w:szCs w:val="24"/>
        </w:rPr>
        <w:t xml:space="preserve"> and Academic search e</w:t>
      </w:r>
      <w:r w:rsidR="009D71B5" w:rsidRPr="00F314C1">
        <w:rPr>
          <w:rFonts w:asciiTheme="minorHAnsi" w:hAnsiTheme="minorHAnsi"/>
          <w:i w:val="0"/>
          <w:sz w:val="24"/>
          <w:szCs w:val="24"/>
        </w:rPr>
        <w:t>ngines for published literature</w:t>
      </w:r>
      <w:r w:rsidRPr="00F314C1">
        <w:rPr>
          <w:rFonts w:asciiTheme="minorHAnsi" w:hAnsiTheme="minorHAnsi"/>
          <w:i w:val="0"/>
          <w:sz w:val="24"/>
          <w:szCs w:val="24"/>
        </w:rPr>
        <w:t xml:space="preserve">), government websites, </w:t>
      </w:r>
      <w:r w:rsidR="00A507B1" w:rsidRPr="00F314C1">
        <w:rPr>
          <w:rFonts w:asciiTheme="minorHAnsi" w:hAnsiTheme="minorHAnsi"/>
          <w:i w:val="0"/>
          <w:sz w:val="24"/>
          <w:szCs w:val="24"/>
        </w:rPr>
        <w:t>and websites maintained by other</w:t>
      </w:r>
      <w:r w:rsidRPr="00F314C1">
        <w:rPr>
          <w:rFonts w:asciiTheme="minorHAnsi" w:hAnsiTheme="minorHAnsi"/>
          <w:i w:val="0"/>
          <w:sz w:val="24"/>
          <w:szCs w:val="24"/>
        </w:rPr>
        <w:t xml:space="preserve"> creditable sources, including peer reviewed literature, government reports, and proceedings from relevant scientific meetings. </w:t>
      </w:r>
      <w:r w:rsidR="003605A7" w:rsidRPr="00F314C1">
        <w:rPr>
          <w:rFonts w:asciiTheme="minorHAnsi" w:hAnsiTheme="minorHAnsi"/>
          <w:i w:val="0"/>
          <w:sz w:val="24"/>
          <w:szCs w:val="24"/>
        </w:rPr>
        <w:t xml:space="preserve">To ensure all relevant sources were captured during the literature review, </w:t>
      </w:r>
      <w:r w:rsidRPr="00F314C1">
        <w:rPr>
          <w:rFonts w:asciiTheme="minorHAnsi" w:hAnsiTheme="minorHAnsi"/>
          <w:i w:val="0"/>
          <w:sz w:val="24"/>
          <w:szCs w:val="24"/>
        </w:rPr>
        <w:t>a combination of techniques</w:t>
      </w:r>
      <w:r w:rsidR="003605A7" w:rsidRPr="00F314C1">
        <w:rPr>
          <w:rFonts w:asciiTheme="minorHAnsi" w:hAnsiTheme="minorHAnsi"/>
          <w:i w:val="0"/>
          <w:sz w:val="24"/>
          <w:szCs w:val="24"/>
        </w:rPr>
        <w:t xml:space="preserve"> </w:t>
      </w:r>
      <w:r w:rsidR="00B303CC" w:rsidRPr="00F314C1">
        <w:rPr>
          <w:rFonts w:asciiTheme="minorHAnsi" w:hAnsiTheme="minorHAnsi"/>
          <w:i w:val="0"/>
          <w:sz w:val="24"/>
          <w:szCs w:val="24"/>
        </w:rPr>
        <w:t>was</w:t>
      </w:r>
      <w:r w:rsidR="003605A7" w:rsidRPr="00F314C1">
        <w:rPr>
          <w:rFonts w:asciiTheme="minorHAnsi" w:hAnsiTheme="minorHAnsi"/>
          <w:i w:val="0"/>
          <w:sz w:val="24"/>
          <w:szCs w:val="24"/>
        </w:rPr>
        <w:t xml:space="preserve"> used,</w:t>
      </w:r>
      <w:r w:rsidRPr="00F314C1">
        <w:rPr>
          <w:rFonts w:asciiTheme="minorHAnsi" w:hAnsiTheme="minorHAnsi"/>
          <w:i w:val="0"/>
          <w:sz w:val="24"/>
          <w:szCs w:val="24"/>
        </w:rPr>
        <w:t xml:space="preserve"> including </w:t>
      </w:r>
      <w:r w:rsidR="003605A7" w:rsidRPr="00F314C1">
        <w:rPr>
          <w:rFonts w:asciiTheme="minorHAnsi" w:hAnsiTheme="minorHAnsi"/>
          <w:i w:val="0"/>
          <w:sz w:val="24"/>
          <w:szCs w:val="24"/>
        </w:rPr>
        <w:t xml:space="preserve">a </w:t>
      </w:r>
      <w:r w:rsidRPr="00F314C1">
        <w:rPr>
          <w:rFonts w:asciiTheme="minorHAnsi" w:hAnsiTheme="minorHAnsi"/>
          <w:i w:val="0"/>
          <w:sz w:val="24"/>
          <w:szCs w:val="24"/>
        </w:rPr>
        <w:t>keyword search, backward search (i.e., reviewing the references, authors, and keywords of the articles and reports identified from the keyword search), and forward search (i.e., reviewing additional articles that have cited an article of interest and reviewing what authors have published following the article of interest).</w:t>
      </w:r>
      <w:r w:rsidR="009B2ED7" w:rsidRPr="00F314C1">
        <w:rPr>
          <w:rFonts w:asciiTheme="minorHAnsi" w:hAnsiTheme="minorHAnsi"/>
          <w:i w:val="0"/>
          <w:sz w:val="24"/>
          <w:szCs w:val="24"/>
        </w:rPr>
        <w:t xml:space="preserve"> Preference was given to data sour</w:t>
      </w:r>
      <w:r w:rsidR="009D71B5" w:rsidRPr="00F314C1">
        <w:rPr>
          <w:rFonts w:asciiTheme="minorHAnsi" w:hAnsiTheme="minorHAnsi"/>
          <w:i w:val="0"/>
          <w:sz w:val="24"/>
          <w:szCs w:val="24"/>
        </w:rPr>
        <w:t>ces published within the last 25</w:t>
      </w:r>
      <w:r w:rsidR="009B2ED7" w:rsidRPr="00F314C1">
        <w:rPr>
          <w:rFonts w:asciiTheme="minorHAnsi" w:hAnsiTheme="minorHAnsi"/>
          <w:i w:val="0"/>
          <w:sz w:val="24"/>
          <w:szCs w:val="24"/>
        </w:rPr>
        <w:t xml:space="preserve"> years</w:t>
      </w:r>
      <w:r w:rsidR="00916144" w:rsidRPr="00F314C1">
        <w:rPr>
          <w:rFonts w:asciiTheme="minorHAnsi" w:hAnsiTheme="minorHAnsi"/>
          <w:i w:val="0"/>
          <w:sz w:val="24"/>
          <w:szCs w:val="24"/>
        </w:rPr>
        <w:t xml:space="preserve"> (i.e., 19</w:t>
      </w:r>
      <w:r w:rsidR="009D71B5" w:rsidRPr="00F314C1">
        <w:rPr>
          <w:rFonts w:asciiTheme="minorHAnsi" w:hAnsiTheme="minorHAnsi"/>
          <w:i w:val="0"/>
          <w:sz w:val="24"/>
          <w:szCs w:val="24"/>
        </w:rPr>
        <w:t>89</w:t>
      </w:r>
      <w:r w:rsidR="00916144" w:rsidRPr="00F314C1">
        <w:rPr>
          <w:rFonts w:asciiTheme="minorHAnsi" w:hAnsiTheme="minorHAnsi"/>
          <w:i w:val="0"/>
          <w:sz w:val="24"/>
          <w:szCs w:val="24"/>
        </w:rPr>
        <w:t xml:space="preserve"> to 2014)</w:t>
      </w:r>
      <w:r w:rsidR="009B2ED7" w:rsidRPr="00F314C1">
        <w:rPr>
          <w:rFonts w:asciiTheme="minorHAnsi" w:hAnsiTheme="minorHAnsi"/>
          <w:i w:val="0"/>
          <w:sz w:val="24"/>
          <w:szCs w:val="24"/>
        </w:rPr>
        <w:t>.</w:t>
      </w:r>
      <w:r w:rsidR="00673A48" w:rsidRPr="00F314C1">
        <w:rPr>
          <w:rFonts w:asciiTheme="minorHAnsi" w:hAnsiTheme="minorHAnsi"/>
          <w:i w:val="0"/>
          <w:sz w:val="24"/>
          <w:szCs w:val="24"/>
        </w:rPr>
        <w:t xml:space="preserve"> Key metadata </w:t>
      </w:r>
      <w:r w:rsidR="0079726E" w:rsidRPr="00F314C1">
        <w:rPr>
          <w:rFonts w:asciiTheme="minorHAnsi" w:hAnsiTheme="minorHAnsi"/>
          <w:i w:val="0"/>
          <w:sz w:val="24"/>
          <w:szCs w:val="24"/>
        </w:rPr>
        <w:t>for</w:t>
      </w:r>
      <w:r w:rsidR="00673A48" w:rsidRPr="00F314C1">
        <w:rPr>
          <w:rFonts w:asciiTheme="minorHAnsi" w:hAnsiTheme="minorHAnsi"/>
          <w:i w:val="0"/>
          <w:sz w:val="24"/>
          <w:szCs w:val="24"/>
        </w:rPr>
        <w:t xml:space="preserve"> all of the relevant sources of information and data were cataloged in a Microsoft Excel-based bibliography.</w:t>
      </w:r>
    </w:p>
    <w:p w14:paraId="64987F62" w14:textId="23F09D3D" w:rsidR="000D1CAE" w:rsidRPr="00F314C1" w:rsidRDefault="000D1CAE" w:rsidP="001C5DD2">
      <w:pPr>
        <w:pStyle w:val="Heading1"/>
        <w:rPr>
          <w:sz w:val="24"/>
          <w:szCs w:val="24"/>
        </w:rPr>
      </w:pPr>
      <w:bookmarkStart w:id="17" w:name="_Toc391035973"/>
      <w:r w:rsidRPr="00F314C1">
        <w:rPr>
          <w:sz w:val="24"/>
          <w:szCs w:val="24"/>
        </w:rPr>
        <w:t>Consultation with Subject Matter Experts</w:t>
      </w:r>
      <w:bookmarkEnd w:id="17"/>
    </w:p>
    <w:p w14:paraId="19ADC4BE" w14:textId="17595AFD" w:rsidR="006148FE" w:rsidRPr="00F314C1" w:rsidRDefault="00D00159" w:rsidP="00B303CC">
      <w:pPr>
        <w:keepNext/>
        <w:jc w:val="both"/>
        <w:rPr>
          <w:rFonts w:asciiTheme="minorHAnsi" w:hAnsiTheme="minorHAnsi"/>
          <w:sz w:val="24"/>
          <w:szCs w:val="24"/>
        </w:rPr>
      </w:pPr>
      <w:r w:rsidRPr="00F314C1">
        <w:rPr>
          <w:rFonts w:asciiTheme="minorHAnsi" w:hAnsiTheme="minorHAnsi"/>
          <w:sz w:val="24"/>
          <w:szCs w:val="24"/>
        </w:rPr>
        <w:t>Approximately seven p</w:t>
      </w:r>
      <w:r w:rsidR="00EB3C36" w:rsidRPr="00F314C1">
        <w:rPr>
          <w:rFonts w:asciiTheme="minorHAnsi" w:hAnsiTheme="minorHAnsi"/>
          <w:sz w:val="24"/>
          <w:szCs w:val="24"/>
        </w:rPr>
        <w:t xml:space="preserve">hone interviews were conducted with </w:t>
      </w:r>
      <w:r w:rsidR="00E74FB4" w:rsidRPr="00F314C1">
        <w:rPr>
          <w:rFonts w:asciiTheme="minorHAnsi" w:hAnsiTheme="minorHAnsi"/>
          <w:sz w:val="24"/>
          <w:szCs w:val="24"/>
        </w:rPr>
        <w:t xml:space="preserve">subject matter </w:t>
      </w:r>
      <w:r w:rsidR="00B303CC" w:rsidRPr="00F314C1">
        <w:rPr>
          <w:rFonts w:asciiTheme="minorHAnsi" w:hAnsiTheme="minorHAnsi"/>
          <w:sz w:val="24"/>
          <w:szCs w:val="24"/>
        </w:rPr>
        <w:t xml:space="preserve">experts from various </w:t>
      </w:r>
      <w:r w:rsidR="00EB3C36" w:rsidRPr="00F314C1">
        <w:rPr>
          <w:rFonts w:asciiTheme="minorHAnsi" w:hAnsiTheme="minorHAnsi"/>
          <w:sz w:val="24"/>
          <w:szCs w:val="24"/>
        </w:rPr>
        <w:t xml:space="preserve">government agencies </w:t>
      </w:r>
      <w:r w:rsidR="00B303CC" w:rsidRPr="00F314C1">
        <w:rPr>
          <w:rFonts w:asciiTheme="minorHAnsi" w:hAnsiTheme="minorHAnsi"/>
          <w:sz w:val="24"/>
          <w:szCs w:val="24"/>
        </w:rPr>
        <w:t xml:space="preserve">and other groups </w:t>
      </w:r>
      <w:r w:rsidR="00EB3C36" w:rsidRPr="00F314C1">
        <w:rPr>
          <w:rFonts w:asciiTheme="minorHAnsi" w:hAnsiTheme="minorHAnsi"/>
          <w:sz w:val="24"/>
          <w:szCs w:val="24"/>
        </w:rPr>
        <w:t>including</w:t>
      </w:r>
      <w:r w:rsidR="00916144" w:rsidRPr="00F314C1">
        <w:rPr>
          <w:rFonts w:asciiTheme="minorHAnsi" w:hAnsiTheme="minorHAnsi"/>
          <w:sz w:val="24"/>
          <w:szCs w:val="24"/>
        </w:rPr>
        <w:t>:</w:t>
      </w:r>
      <w:r w:rsidR="00EB3C36" w:rsidRPr="00F314C1">
        <w:rPr>
          <w:rFonts w:asciiTheme="minorHAnsi" w:hAnsiTheme="minorHAnsi"/>
          <w:sz w:val="24"/>
          <w:szCs w:val="24"/>
        </w:rPr>
        <w:t xml:space="preserve"> Ala</w:t>
      </w:r>
      <w:r w:rsidR="00B51519" w:rsidRPr="00F314C1">
        <w:rPr>
          <w:rFonts w:asciiTheme="minorHAnsi" w:hAnsiTheme="minorHAnsi"/>
          <w:sz w:val="24"/>
          <w:szCs w:val="24"/>
        </w:rPr>
        <w:t>ska Depa</w:t>
      </w:r>
      <w:r w:rsidR="00B303CC" w:rsidRPr="00F314C1">
        <w:rPr>
          <w:rFonts w:asciiTheme="minorHAnsi" w:hAnsiTheme="minorHAnsi"/>
          <w:sz w:val="24"/>
          <w:szCs w:val="24"/>
        </w:rPr>
        <w:t>rtment of Fish and Game (ADF&amp;G);</w:t>
      </w:r>
      <w:r w:rsidR="00EB3C36" w:rsidRPr="00F314C1">
        <w:rPr>
          <w:rFonts w:asciiTheme="minorHAnsi" w:hAnsiTheme="minorHAnsi"/>
          <w:sz w:val="24"/>
          <w:szCs w:val="24"/>
        </w:rPr>
        <w:t xml:space="preserve"> University of Alaska – Fa</w:t>
      </w:r>
      <w:r w:rsidR="00B51519" w:rsidRPr="00F314C1">
        <w:rPr>
          <w:rFonts w:asciiTheme="minorHAnsi" w:hAnsiTheme="minorHAnsi"/>
          <w:sz w:val="24"/>
          <w:szCs w:val="24"/>
        </w:rPr>
        <w:t>irbanks</w:t>
      </w:r>
      <w:r w:rsidR="00B303CC" w:rsidRPr="00F314C1">
        <w:rPr>
          <w:rFonts w:asciiTheme="minorHAnsi" w:hAnsiTheme="minorHAnsi"/>
          <w:sz w:val="24"/>
          <w:szCs w:val="24"/>
        </w:rPr>
        <w:t>;</w:t>
      </w:r>
      <w:r w:rsidR="00B51519" w:rsidRPr="00F314C1">
        <w:rPr>
          <w:rFonts w:asciiTheme="minorHAnsi" w:hAnsiTheme="minorHAnsi"/>
          <w:sz w:val="24"/>
          <w:szCs w:val="24"/>
        </w:rPr>
        <w:t xml:space="preserve"> ADEC</w:t>
      </w:r>
      <w:r w:rsidR="00DD3460" w:rsidRPr="00F314C1">
        <w:rPr>
          <w:rFonts w:asciiTheme="minorHAnsi" w:hAnsiTheme="minorHAnsi"/>
          <w:sz w:val="24"/>
          <w:szCs w:val="24"/>
        </w:rPr>
        <w:t xml:space="preserve">, </w:t>
      </w:r>
      <w:proofErr w:type="spellStart"/>
      <w:r w:rsidR="00DD3460" w:rsidRPr="00F314C1">
        <w:rPr>
          <w:rFonts w:asciiTheme="minorHAnsi" w:hAnsiTheme="minorHAnsi"/>
          <w:sz w:val="24"/>
          <w:szCs w:val="24"/>
        </w:rPr>
        <w:t>Seldov</w:t>
      </w:r>
      <w:r w:rsidR="00EB3C36" w:rsidRPr="00F314C1">
        <w:rPr>
          <w:rFonts w:asciiTheme="minorHAnsi" w:hAnsiTheme="minorHAnsi"/>
          <w:sz w:val="24"/>
          <w:szCs w:val="24"/>
        </w:rPr>
        <w:t>ia</w:t>
      </w:r>
      <w:proofErr w:type="spellEnd"/>
      <w:r w:rsidR="00EB3C36" w:rsidRPr="00F314C1">
        <w:rPr>
          <w:rFonts w:asciiTheme="minorHAnsi" w:hAnsiTheme="minorHAnsi"/>
          <w:sz w:val="24"/>
          <w:szCs w:val="24"/>
        </w:rPr>
        <w:t xml:space="preserve"> Village Tribe – Environmental Office</w:t>
      </w:r>
      <w:r w:rsidR="00B303CC" w:rsidRPr="00F314C1">
        <w:rPr>
          <w:rFonts w:asciiTheme="minorHAnsi" w:hAnsiTheme="minorHAnsi"/>
          <w:sz w:val="24"/>
          <w:szCs w:val="24"/>
        </w:rPr>
        <w:t>;</w:t>
      </w:r>
      <w:r w:rsidR="00EB3C36" w:rsidRPr="00F314C1">
        <w:rPr>
          <w:rFonts w:asciiTheme="minorHAnsi" w:hAnsiTheme="minorHAnsi"/>
          <w:sz w:val="24"/>
          <w:szCs w:val="24"/>
        </w:rPr>
        <w:t xml:space="preserve"> </w:t>
      </w:r>
      <w:r w:rsidR="00B51519" w:rsidRPr="00F314C1">
        <w:rPr>
          <w:rFonts w:asciiTheme="minorHAnsi" w:hAnsiTheme="minorHAnsi"/>
          <w:sz w:val="24"/>
          <w:szCs w:val="24"/>
        </w:rPr>
        <w:t>DHSS</w:t>
      </w:r>
      <w:r w:rsidR="00B303CC" w:rsidRPr="00F314C1">
        <w:rPr>
          <w:rFonts w:asciiTheme="minorHAnsi" w:hAnsiTheme="minorHAnsi"/>
          <w:sz w:val="24"/>
          <w:szCs w:val="24"/>
        </w:rPr>
        <w:t>;</w:t>
      </w:r>
      <w:r w:rsidR="00EB3C36" w:rsidRPr="00F314C1">
        <w:rPr>
          <w:rFonts w:asciiTheme="minorHAnsi" w:hAnsiTheme="minorHAnsi"/>
          <w:sz w:val="24"/>
          <w:szCs w:val="24"/>
        </w:rPr>
        <w:t xml:space="preserve"> and</w:t>
      </w:r>
      <w:r w:rsidR="000E5260" w:rsidRPr="00F314C1">
        <w:rPr>
          <w:rFonts w:asciiTheme="minorHAnsi" w:hAnsiTheme="minorHAnsi"/>
          <w:sz w:val="24"/>
          <w:szCs w:val="24"/>
        </w:rPr>
        <w:t xml:space="preserve"> </w:t>
      </w:r>
      <w:r w:rsidR="00E85DA4" w:rsidRPr="00F314C1">
        <w:rPr>
          <w:rFonts w:asciiTheme="minorHAnsi" w:hAnsiTheme="minorHAnsi"/>
          <w:sz w:val="24"/>
          <w:szCs w:val="24"/>
        </w:rPr>
        <w:t>IDM Consulting</w:t>
      </w:r>
      <w:r w:rsidR="00EB3C36" w:rsidRPr="00F314C1">
        <w:rPr>
          <w:rFonts w:asciiTheme="minorHAnsi" w:hAnsiTheme="minorHAnsi"/>
          <w:sz w:val="24"/>
          <w:szCs w:val="24"/>
        </w:rPr>
        <w:t xml:space="preserve">. </w:t>
      </w:r>
      <w:r w:rsidR="006C63AE" w:rsidRPr="00F314C1">
        <w:rPr>
          <w:rFonts w:asciiTheme="minorHAnsi" w:hAnsiTheme="minorHAnsi"/>
          <w:sz w:val="24"/>
          <w:szCs w:val="24"/>
        </w:rPr>
        <w:t>I</w:t>
      </w:r>
      <w:r w:rsidR="006148FE" w:rsidRPr="00F314C1">
        <w:rPr>
          <w:rFonts w:asciiTheme="minorHAnsi" w:hAnsiTheme="minorHAnsi"/>
          <w:sz w:val="24"/>
          <w:szCs w:val="24"/>
        </w:rPr>
        <w:t xml:space="preserve">nterview participants were </w:t>
      </w:r>
      <w:r w:rsidR="006C63AE" w:rsidRPr="00F314C1">
        <w:rPr>
          <w:rFonts w:asciiTheme="minorHAnsi" w:hAnsiTheme="minorHAnsi"/>
          <w:sz w:val="24"/>
          <w:szCs w:val="24"/>
        </w:rPr>
        <w:t xml:space="preserve">given </w:t>
      </w:r>
      <w:r w:rsidR="006148FE" w:rsidRPr="00F314C1">
        <w:rPr>
          <w:rFonts w:asciiTheme="minorHAnsi" w:hAnsiTheme="minorHAnsi"/>
          <w:sz w:val="24"/>
          <w:szCs w:val="24"/>
        </w:rPr>
        <w:t>a brief description of the project</w:t>
      </w:r>
      <w:r w:rsidR="006C63AE" w:rsidRPr="00F314C1">
        <w:rPr>
          <w:rFonts w:asciiTheme="minorHAnsi" w:hAnsiTheme="minorHAnsi"/>
          <w:sz w:val="24"/>
          <w:szCs w:val="24"/>
        </w:rPr>
        <w:t xml:space="preserve"> at the start </w:t>
      </w:r>
      <w:r w:rsidR="006C63AE" w:rsidRPr="00F314C1">
        <w:rPr>
          <w:rFonts w:asciiTheme="minorHAnsi" w:hAnsiTheme="minorHAnsi"/>
          <w:sz w:val="24"/>
          <w:szCs w:val="24"/>
        </w:rPr>
        <w:lastRenderedPageBreak/>
        <w:t>of each phone interview</w:t>
      </w:r>
      <w:r w:rsidR="006148FE" w:rsidRPr="00F314C1">
        <w:rPr>
          <w:rFonts w:asciiTheme="minorHAnsi" w:hAnsiTheme="minorHAnsi"/>
          <w:sz w:val="24"/>
          <w:szCs w:val="24"/>
        </w:rPr>
        <w:t xml:space="preserve">. Although no </w:t>
      </w:r>
      <w:r w:rsidR="00302C76" w:rsidRPr="00F314C1">
        <w:rPr>
          <w:rFonts w:asciiTheme="minorHAnsi" w:hAnsiTheme="minorHAnsi"/>
          <w:sz w:val="24"/>
          <w:szCs w:val="24"/>
        </w:rPr>
        <w:t>standardized</w:t>
      </w:r>
      <w:r w:rsidR="006148FE" w:rsidRPr="00F314C1">
        <w:rPr>
          <w:rFonts w:asciiTheme="minorHAnsi" w:hAnsiTheme="minorHAnsi"/>
          <w:sz w:val="24"/>
          <w:szCs w:val="24"/>
        </w:rPr>
        <w:t xml:space="preserve"> questionnaire was used, all participants were asked the following: </w:t>
      </w:r>
    </w:p>
    <w:p w14:paraId="6B176AE7" w14:textId="3C654567" w:rsidR="006148FE" w:rsidRPr="00F314C1" w:rsidRDefault="006148FE" w:rsidP="006148FE">
      <w:pPr>
        <w:pStyle w:val="ListParagraph"/>
        <w:keepNext/>
        <w:numPr>
          <w:ilvl w:val="0"/>
          <w:numId w:val="13"/>
        </w:numPr>
        <w:jc w:val="both"/>
        <w:rPr>
          <w:rFonts w:asciiTheme="minorHAnsi" w:hAnsiTheme="minorHAnsi"/>
          <w:sz w:val="24"/>
          <w:szCs w:val="24"/>
        </w:rPr>
      </w:pPr>
      <w:r w:rsidRPr="00F314C1">
        <w:rPr>
          <w:rFonts w:asciiTheme="minorHAnsi" w:hAnsiTheme="minorHAnsi"/>
          <w:sz w:val="24"/>
          <w:szCs w:val="24"/>
        </w:rPr>
        <w:t xml:space="preserve">Do you develop or use data related to fish consumption? </w:t>
      </w:r>
    </w:p>
    <w:p w14:paraId="302E39DE" w14:textId="54AFAC67" w:rsidR="006148FE" w:rsidRPr="00F314C1" w:rsidRDefault="006148FE" w:rsidP="006148FE">
      <w:pPr>
        <w:pStyle w:val="ListParagraph"/>
        <w:keepNext/>
        <w:numPr>
          <w:ilvl w:val="0"/>
          <w:numId w:val="13"/>
        </w:numPr>
        <w:jc w:val="both"/>
        <w:rPr>
          <w:rFonts w:asciiTheme="minorHAnsi" w:hAnsiTheme="minorHAnsi"/>
          <w:sz w:val="24"/>
          <w:szCs w:val="24"/>
        </w:rPr>
      </w:pPr>
      <w:r w:rsidRPr="00F314C1">
        <w:rPr>
          <w:rFonts w:asciiTheme="minorHAnsi" w:hAnsiTheme="minorHAnsi"/>
          <w:sz w:val="24"/>
          <w:szCs w:val="24"/>
        </w:rPr>
        <w:t>Do you know of</w:t>
      </w:r>
      <w:r w:rsidR="00302C76" w:rsidRPr="00F314C1">
        <w:rPr>
          <w:rFonts w:asciiTheme="minorHAnsi" w:hAnsiTheme="minorHAnsi"/>
          <w:sz w:val="24"/>
          <w:szCs w:val="24"/>
        </w:rPr>
        <w:t xml:space="preserve"> </w:t>
      </w:r>
      <w:r w:rsidRPr="00F314C1">
        <w:rPr>
          <w:rFonts w:asciiTheme="minorHAnsi" w:hAnsiTheme="minorHAnsi"/>
          <w:sz w:val="24"/>
          <w:szCs w:val="24"/>
        </w:rPr>
        <w:t xml:space="preserve">any specific fish consumption data sources that should be reviewed as part of this effort? </w:t>
      </w:r>
    </w:p>
    <w:p w14:paraId="1A38F35E" w14:textId="7142B791" w:rsidR="006148FE" w:rsidRPr="00F314C1" w:rsidRDefault="006148FE" w:rsidP="006148FE">
      <w:pPr>
        <w:pStyle w:val="ListParagraph"/>
        <w:keepNext/>
        <w:numPr>
          <w:ilvl w:val="0"/>
          <w:numId w:val="13"/>
        </w:numPr>
        <w:jc w:val="both"/>
        <w:rPr>
          <w:rFonts w:asciiTheme="minorHAnsi" w:hAnsiTheme="minorHAnsi"/>
          <w:sz w:val="24"/>
          <w:szCs w:val="24"/>
        </w:rPr>
      </w:pPr>
      <w:r w:rsidRPr="00F314C1">
        <w:rPr>
          <w:rFonts w:asciiTheme="minorHAnsi" w:hAnsiTheme="minorHAnsi"/>
          <w:sz w:val="24"/>
          <w:szCs w:val="24"/>
        </w:rPr>
        <w:t xml:space="preserve">What do you feel are the </w:t>
      </w:r>
      <w:r w:rsidR="006C63AE" w:rsidRPr="00F314C1">
        <w:rPr>
          <w:rFonts w:asciiTheme="minorHAnsi" w:hAnsiTheme="minorHAnsi"/>
          <w:sz w:val="24"/>
          <w:szCs w:val="24"/>
        </w:rPr>
        <w:t>main</w:t>
      </w:r>
      <w:r w:rsidRPr="00F314C1">
        <w:rPr>
          <w:rFonts w:asciiTheme="minorHAnsi" w:hAnsiTheme="minorHAnsi"/>
          <w:sz w:val="24"/>
          <w:szCs w:val="24"/>
        </w:rPr>
        <w:t xml:space="preserve"> knowledge gaps in Alaska fish consumption data? </w:t>
      </w:r>
    </w:p>
    <w:p w14:paraId="64987F63" w14:textId="07E7182E" w:rsidR="00EB3C36" w:rsidRPr="00F314C1" w:rsidRDefault="006C63AE" w:rsidP="006148FE">
      <w:pPr>
        <w:keepNext/>
        <w:jc w:val="both"/>
        <w:rPr>
          <w:rFonts w:asciiTheme="minorHAnsi" w:hAnsiTheme="minorHAnsi"/>
          <w:sz w:val="24"/>
          <w:szCs w:val="24"/>
        </w:rPr>
      </w:pPr>
      <w:r w:rsidRPr="00F314C1">
        <w:rPr>
          <w:rFonts w:asciiTheme="minorHAnsi" w:hAnsiTheme="minorHAnsi"/>
          <w:sz w:val="24"/>
          <w:szCs w:val="24"/>
        </w:rPr>
        <w:t>I</w:t>
      </w:r>
      <w:r w:rsidR="006148FE" w:rsidRPr="00F314C1">
        <w:rPr>
          <w:rFonts w:asciiTheme="minorHAnsi" w:hAnsiTheme="minorHAnsi"/>
          <w:sz w:val="24"/>
          <w:szCs w:val="24"/>
        </w:rPr>
        <w:t xml:space="preserve">nformation provided during the interviews varied in accordance with the perspective and subject matter expertise of the individual. </w:t>
      </w:r>
      <w:r w:rsidR="00B303CC" w:rsidRPr="00F314C1">
        <w:rPr>
          <w:rFonts w:asciiTheme="minorHAnsi" w:hAnsiTheme="minorHAnsi"/>
          <w:sz w:val="24"/>
          <w:szCs w:val="24"/>
        </w:rPr>
        <w:t>The</w:t>
      </w:r>
      <w:r w:rsidR="00EB3C36" w:rsidRPr="00F314C1">
        <w:rPr>
          <w:rFonts w:asciiTheme="minorHAnsi" w:hAnsiTheme="minorHAnsi"/>
          <w:sz w:val="24"/>
          <w:szCs w:val="24"/>
        </w:rPr>
        <w:t xml:space="preserve"> interviews </w:t>
      </w:r>
      <w:r w:rsidR="00916144" w:rsidRPr="00F314C1">
        <w:rPr>
          <w:rFonts w:asciiTheme="minorHAnsi" w:hAnsiTheme="minorHAnsi"/>
          <w:sz w:val="24"/>
          <w:szCs w:val="24"/>
        </w:rPr>
        <w:t>assisted in</w:t>
      </w:r>
      <w:r w:rsidR="00EB3C36" w:rsidRPr="00F314C1">
        <w:rPr>
          <w:rFonts w:asciiTheme="minorHAnsi" w:hAnsiTheme="minorHAnsi"/>
          <w:sz w:val="24"/>
          <w:szCs w:val="24"/>
        </w:rPr>
        <w:t xml:space="preserve"> identify</w:t>
      </w:r>
      <w:r w:rsidR="00916144" w:rsidRPr="00F314C1">
        <w:rPr>
          <w:rFonts w:asciiTheme="minorHAnsi" w:hAnsiTheme="minorHAnsi"/>
          <w:sz w:val="24"/>
          <w:szCs w:val="24"/>
        </w:rPr>
        <w:t>ing</w:t>
      </w:r>
      <w:r w:rsidR="00EB3C36" w:rsidRPr="00F314C1">
        <w:rPr>
          <w:rFonts w:asciiTheme="minorHAnsi" w:hAnsiTheme="minorHAnsi"/>
          <w:sz w:val="24"/>
          <w:szCs w:val="24"/>
        </w:rPr>
        <w:t xml:space="preserve"> current sources of data on fi</w:t>
      </w:r>
      <w:r w:rsidR="00B51519" w:rsidRPr="00F314C1">
        <w:rPr>
          <w:rFonts w:asciiTheme="minorHAnsi" w:hAnsiTheme="minorHAnsi"/>
          <w:sz w:val="24"/>
          <w:szCs w:val="24"/>
        </w:rPr>
        <w:t xml:space="preserve">sh consumption in Alaska and </w:t>
      </w:r>
      <w:r w:rsidR="00602190" w:rsidRPr="00F314C1">
        <w:rPr>
          <w:rFonts w:asciiTheme="minorHAnsi" w:hAnsiTheme="minorHAnsi"/>
          <w:sz w:val="24"/>
          <w:szCs w:val="24"/>
        </w:rPr>
        <w:t xml:space="preserve">in better </w:t>
      </w:r>
      <w:r w:rsidR="007839A1" w:rsidRPr="00F314C1">
        <w:rPr>
          <w:rFonts w:asciiTheme="minorHAnsi" w:hAnsiTheme="minorHAnsi"/>
          <w:sz w:val="24"/>
          <w:szCs w:val="24"/>
        </w:rPr>
        <w:t>understand</w:t>
      </w:r>
      <w:r w:rsidR="00B51519" w:rsidRPr="00F314C1">
        <w:rPr>
          <w:rFonts w:asciiTheme="minorHAnsi" w:hAnsiTheme="minorHAnsi"/>
          <w:sz w:val="24"/>
          <w:szCs w:val="24"/>
        </w:rPr>
        <w:t>ing</w:t>
      </w:r>
      <w:r w:rsidR="007839A1" w:rsidRPr="00F314C1">
        <w:rPr>
          <w:rFonts w:asciiTheme="minorHAnsi" w:hAnsiTheme="minorHAnsi"/>
          <w:sz w:val="24"/>
          <w:szCs w:val="24"/>
        </w:rPr>
        <w:t xml:space="preserve"> </w:t>
      </w:r>
      <w:r w:rsidR="00602190" w:rsidRPr="00F314C1">
        <w:rPr>
          <w:rFonts w:asciiTheme="minorHAnsi" w:hAnsiTheme="minorHAnsi"/>
          <w:sz w:val="24"/>
          <w:szCs w:val="24"/>
        </w:rPr>
        <w:t xml:space="preserve">how </w:t>
      </w:r>
      <w:r w:rsidR="007839A1" w:rsidRPr="00F314C1">
        <w:rPr>
          <w:rFonts w:asciiTheme="minorHAnsi" w:hAnsiTheme="minorHAnsi"/>
          <w:sz w:val="24"/>
          <w:szCs w:val="24"/>
        </w:rPr>
        <w:t xml:space="preserve">data </w:t>
      </w:r>
      <w:r w:rsidR="00602190" w:rsidRPr="00F314C1">
        <w:rPr>
          <w:rFonts w:asciiTheme="minorHAnsi" w:hAnsiTheme="minorHAnsi"/>
          <w:sz w:val="24"/>
          <w:szCs w:val="24"/>
        </w:rPr>
        <w:t>are used</w:t>
      </w:r>
      <w:r w:rsidR="007839A1" w:rsidRPr="00F314C1">
        <w:rPr>
          <w:rFonts w:asciiTheme="minorHAnsi" w:hAnsiTheme="minorHAnsi"/>
          <w:sz w:val="24"/>
          <w:szCs w:val="24"/>
        </w:rPr>
        <w:t xml:space="preserve"> </w:t>
      </w:r>
      <w:r w:rsidR="00602190" w:rsidRPr="00F314C1">
        <w:rPr>
          <w:rFonts w:asciiTheme="minorHAnsi" w:hAnsiTheme="minorHAnsi"/>
          <w:sz w:val="24"/>
          <w:szCs w:val="24"/>
        </w:rPr>
        <w:t xml:space="preserve">by </w:t>
      </w:r>
      <w:r w:rsidR="007839A1" w:rsidRPr="00F314C1">
        <w:rPr>
          <w:rFonts w:asciiTheme="minorHAnsi" w:hAnsiTheme="minorHAnsi"/>
          <w:sz w:val="24"/>
          <w:szCs w:val="24"/>
        </w:rPr>
        <w:t xml:space="preserve">different programs </w:t>
      </w:r>
      <w:r w:rsidR="00B303CC" w:rsidRPr="00F314C1">
        <w:rPr>
          <w:rFonts w:asciiTheme="minorHAnsi" w:hAnsiTheme="minorHAnsi"/>
          <w:sz w:val="24"/>
          <w:szCs w:val="24"/>
        </w:rPr>
        <w:t>in</w:t>
      </w:r>
      <w:r w:rsidR="007839A1" w:rsidRPr="00F314C1">
        <w:rPr>
          <w:rFonts w:asciiTheme="minorHAnsi" w:hAnsiTheme="minorHAnsi"/>
          <w:sz w:val="24"/>
          <w:szCs w:val="24"/>
        </w:rPr>
        <w:t xml:space="preserve"> the state.</w:t>
      </w:r>
    </w:p>
    <w:p w14:paraId="64987F64" w14:textId="220D48FC" w:rsidR="007B3D53" w:rsidRPr="00F314C1" w:rsidRDefault="00506098" w:rsidP="00C51C9C">
      <w:pPr>
        <w:pStyle w:val="SectionHeader"/>
        <w:rPr>
          <w:sz w:val="24"/>
          <w:szCs w:val="24"/>
        </w:rPr>
      </w:pPr>
      <w:bookmarkStart w:id="18" w:name="_Toc390121643"/>
      <w:bookmarkStart w:id="19" w:name="_Toc390121734"/>
      <w:bookmarkStart w:id="20" w:name="_Toc390121871"/>
      <w:bookmarkStart w:id="21" w:name="_Toc391035974"/>
      <w:r w:rsidRPr="00F314C1">
        <w:rPr>
          <w:sz w:val="24"/>
          <w:szCs w:val="24"/>
        </w:rPr>
        <w:t>Review</w:t>
      </w:r>
      <w:bookmarkEnd w:id="18"/>
      <w:bookmarkEnd w:id="19"/>
      <w:bookmarkEnd w:id="20"/>
      <w:r w:rsidR="00DD543F" w:rsidRPr="00F314C1">
        <w:rPr>
          <w:sz w:val="24"/>
          <w:szCs w:val="24"/>
        </w:rPr>
        <w:t xml:space="preserve"> of Data Sources</w:t>
      </w:r>
      <w:bookmarkEnd w:id="21"/>
    </w:p>
    <w:p w14:paraId="64987F65" w14:textId="6539D703" w:rsidR="00C751B3" w:rsidRPr="00F314C1" w:rsidRDefault="006F2AC4" w:rsidP="00B303CC">
      <w:pPr>
        <w:jc w:val="both"/>
        <w:rPr>
          <w:rFonts w:asciiTheme="minorHAnsi" w:hAnsiTheme="minorHAnsi"/>
          <w:b/>
          <w:sz w:val="24"/>
          <w:szCs w:val="24"/>
        </w:rPr>
      </w:pPr>
      <w:bookmarkStart w:id="22" w:name="_Toc390121644"/>
      <w:bookmarkStart w:id="23" w:name="_Toc390121735"/>
      <w:bookmarkStart w:id="24" w:name="_Toc390121872"/>
      <w:r w:rsidRPr="00F314C1">
        <w:rPr>
          <w:rFonts w:asciiTheme="minorHAnsi" w:hAnsiTheme="minorHAnsi"/>
          <w:sz w:val="24"/>
          <w:szCs w:val="24"/>
        </w:rPr>
        <w:t xml:space="preserve">This section </w:t>
      </w:r>
      <w:r w:rsidR="00C751B3" w:rsidRPr="00F314C1">
        <w:rPr>
          <w:rFonts w:asciiTheme="minorHAnsi" w:hAnsiTheme="minorHAnsi"/>
          <w:sz w:val="24"/>
          <w:szCs w:val="24"/>
        </w:rPr>
        <w:t>provide</w:t>
      </w:r>
      <w:r w:rsidRPr="00F314C1">
        <w:rPr>
          <w:rFonts w:asciiTheme="minorHAnsi" w:hAnsiTheme="minorHAnsi"/>
          <w:sz w:val="24"/>
          <w:szCs w:val="24"/>
        </w:rPr>
        <w:t>s</w:t>
      </w:r>
      <w:r w:rsidR="00C751B3" w:rsidRPr="00F314C1">
        <w:rPr>
          <w:rFonts w:asciiTheme="minorHAnsi" w:hAnsiTheme="minorHAnsi"/>
          <w:sz w:val="24"/>
          <w:szCs w:val="24"/>
        </w:rPr>
        <w:t xml:space="preserve"> a </w:t>
      </w:r>
      <w:r w:rsidR="00764CA3" w:rsidRPr="00F314C1">
        <w:rPr>
          <w:rFonts w:asciiTheme="minorHAnsi" w:hAnsiTheme="minorHAnsi"/>
          <w:sz w:val="24"/>
          <w:szCs w:val="24"/>
        </w:rPr>
        <w:t>summar</w:t>
      </w:r>
      <w:r w:rsidR="00484376" w:rsidRPr="00F314C1">
        <w:rPr>
          <w:rFonts w:asciiTheme="minorHAnsi" w:hAnsiTheme="minorHAnsi"/>
          <w:sz w:val="24"/>
          <w:szCs w:val="24"/>
        </w:rPr>
        <w:t>y of</w:t>
      </w:r>
      <w:r w:rsidR="00C751B3" w:rsidRPr="00F314C1">
        <w:rPr>
          <w:rFonts w:asciiTheme="minorHAnsi" w:hAnsiTheme="minorHAnsi"/>
          <w:sz w:val="24"/>
          <w:szCs w:val="24"/>
        </w:rPr>
        <w:t xml:space="preserve"> </w:t>
      </w:r>
      <w:r w:rsidRPr="00F314C1">
        <w:rPr>
          <w:rFonts w:asciiTheme="minorHAnsi" w:hAnsiTheme="minorHAnsi"/>
          <w:sz w:val="24"/>
          <w:szCs w:val="24"/>
        </w:rPr>
        <w:t xml:space="preserve">existing </w:t>
      </w:r>
      <w:r w:rsidR="00C751B3" w:rsidRPr="00F314C1">
        <w:rPr>
          <w:rFonts w:asciiTheme="minorHAnsi" w:hAnsiTheme="minorHAnsi"/>
          <w:sz w:val="24"/>
          <w:szCs w:val="24"/>
        </w:rPr>
        <w:t xml:space="preserve">sources and types of data </w:t>
      </w:r>
      <w:r w:rsidRPr="00F314C1">
        <w:rPr>
          <w:rFonts w:asciiTheme="minorHAnsi" w:hAnsiTheme="minorHAnsi"/>
          <w:sz w:val="24"/>
          <w:szCs w:val="24"/>
        </w:rPr>
        <w:t>on</w:t>
      </w:r>
      <w:r w:rsidR="00C751B3" w:rsidRPr="00F314C1">
        <w:rPr>
          <w:rFonts w:asciiTheme="minorHAnsi" w:hAnsiTheme="minorHAnsi"/>
          <w:sz w:val="24"/>
          <w:szCs w:val="24"/>
        </w:rPr>
        <w:t xml:space="preserve"> </w:t>
      </w:r>
      <w:r w:rsidR="007F6D08" w:rsidRPr="00F314C1">
        <w:rPr>
          <w:rFonts w:asciiTheme="minorHAnsi" w:hAnsiTheme="minorHAnsi"/>
          <w:sz w:val="24"/>
          <w:szCs w:val="24"/>
        </w:rPr>
        <w:t>FCR</w:t>
      </w:r>
      <w:r w:rsidR="00B303CC" w:rsidRPr="00F314C1">
        <w:rPr>
          <w:rFonts w:asciiTheme="minorHAnsi" w:hAnsiTheme="minorHAnsi"/>
          <w:sz w:val="24"/>
          <w:szCs w:val="24"/>
        </w:rPr>
        <w:t>s</w:t>
      </w:r>
      <w:r w:rsidR="00C751B3" w:rsidRPr="00F314C1">
        <w:rPr>
          <w:rFonts w:asciiTheme="minorHAnsi" w:hAnsiTheme="minorHAnsi"/>
          <w:sz w:val="24"/>
          <w:szCs w:val="24"/>
        </w:rPr>
        <w:t xml:space="preserve"> in Alaska</w:t>
      </w:r>
      <w:r w:rsidR="00CD0B6B" w:rsidRPr="00F314C1">
        <w:rPr>
          <w:rFonts w:asciiTheme="minorHAnsi" w:hAnsiTheme="minorHAnsi"/>
          <w:sz w:val="24"/>
          <w:szCs w:val="24"/>
        </w:rPr>
        <w:t xml:space="preserve"> that were identified during the discovery phase of this project. Th</w:t>
      </w:r>
      <w:r w:rsidR="00691B3C" w:rsidRPr="00F314C1">
        <w:rPr>
          <w:rFonts w:asciiTheme="minorHAnsi" w:hAnsiTheme="minorHAnsi"/>
          <w:sz w:val="24"/>
          <w:szCs w:val="24"/>
        </w:rPr>
        <w:t>is</w:t>
      </w:r>
      <w:r w:rsidR="00CD0B6B" w:rsidRPr="00F314C1">
        <w:rPr>
          <w:rFonts w:asciiTheme="minorHAnsi" w:hAnsiTheme="minorHAnsi"/>
          <w:sz w:val="24"/>
          <w:szCs w:val="24"/>
        </w:rPr>
        <w:t xml:space="preserve"> include</w:t>
      </w:r>
      <w:r w:rsidR="00691B3C" w:rsidRPr="00F314C1">
        <w:rPr>
          <w:rFonts w:asciiTheme="minorHAnsi" w:hAnsiTheme="minorHAnsi"/>
          <w:sz w:val="24"/>
          <w:szCs w:val="24"/>
        </w:rPr>
        <w:t>s</w:t>
      </w:r>
      <w:r w:rsidR="00CD0B6B" w:rsidRPr="00F314C1">
        <w:rPr>
          <w:rFonts w:asciiTheme="minorHAnsi" w:hAnsiTheme="minorHAnsi"/>
          <w:sz w:val="24"/>
          <w:szCs w:val="24"/>
        </w:rPr>
        <w:t xml:space="preserve"> </w:t>
      </w:r>
      <w:r w:rsidR="00C751B3" w:rsidRPr="00F314C1">
        <w:rPr>
          <w:rFonts w:asciiTheme="minorHAnsi" w:hAnsiTheme="minorHAnsi"/>
          <w:sz w:val="24"/>
          <w:szCs w:val="24"/>
        </w:rPr>
        <w:t>data collection methods, a description of data presented, findings on fish consumption</w:t>
      </w:r>
      <w:r w:rsidRPr="00F314C1">
        <w:rPr>
          <w:rFonts w:asciiTheme="minorHAnsi" w:hAnsiTheme="minorHAnsi"/>
          <w:sz w:val="24"/>
          <w:szCs w:val="24"/>
        </w:rPr>
        <w:t>,</w:t>
      </w:r>
      <w:r w:rsidR="00C751B3" w:rsidRPr="00F314C1">
        <w:rPr>
          <w:rFonts w:asciiTheme="minorHAnsi" w:hAnsiTheme="minorHAnsi"/>
          <w:sz w:val="24"/>
          <w:szCs w:val="24"/>
        </w:rPr>
        <w:t xml:space="preserve"> and relevance to EPA recommended methods for determining </w:t>
      </w:r>
      <w:r w:rsidR="007F6D08" w:rsidRPr="00F314C1">
        <w:rPr>
          <w:rFonts w:asciiTheme="minorHAnsi" w:hAnsiTheme="minorHAnsi"/>
          <w:sz w:val="24"/>
          <w:szCs w:val="24"/>
        </w:rPr>
        <w:t>FCR</w:t>
      </w:r>
      <w:r w:rsidR="00C751B3" w:rsidRPr="00F314C1">
        <w:rPr>
          <w:rFonts w:asciiTheme="minorHAnsi" w:hAnsiTheme="minorHAnsi"/>
          <w:sz w:val="24"/>
          <w:szCs w:val="24"/>
        </w:rPr>
        <w:t>s.</w:t>
      </w:r>
      <w:bookmarkEnd w:id="22"/>
      <w:bookmarkEnd w:id="23"/>
      <w:bookmarkEnd w:id="24"/>
    </w:p>
    <w:p w14:paraId="64987F66" w14:textId="77777777" w:rsidR="00412870" w:rsidRPr="00F314C1" w:rsidRDefault="00412870" w:rsidP="00412870">
      <w:pPr>
        <w:pStyle w:val="Heading1"/>
        <w:rPr>
          <w:sz w:val="24"/>
          <w:szCs w:val="24"/>
        </w:rPr>
      </w:pPr>
      <w:bookmarkStart w:id="25" w:name="_Toc391035975"/>
      <w:r w:rsidRPr="00F314C1">
        <w:rPr>
          <w:sz w:val="24"/>
          <w:szCs w:val="24"/>
        </w:rPr>
        <w:t>Dietary Surveys</w:t>
      </w:r>
      <w:bookmarkEnd w:id="25"/>
    </w:p>
    <w:p w14:paraId="3385B504" w14:textId="2F115C63" w:rsidR="00FE53F9" w:rsidRPr="00F314C1" w:rsidRDefault="00412870" w:rsidP="00FE53F9">
      <w:pPr>
        <w:jc w:val="both"/>
        <w:rPr>
          <w:rFonts w:asciiTheme="minorHAnsi" w:hAnsiTheme="minorHAnsi"/>
          <w:sz w:val="24"/>
          <w:szCs w:val="24"/>
        </w:rPr>
      </w:pPr>
      <w:r w:rsidRPr="00F314C1">
        <w:rPr>
          <w:rFonts w:asciiTheme="minorHAnsi" w:hAnsiTheme="minorHAnsi"/>
          <w:sz w:val="24"/>
          <w:szCs w:val="24"/>
        </w:rPr>
        <w:t>Dietary surveys are typically used by researchers to discover the habitual nutrient intakes of individuals.</w:t>
      </w:r>
      <w:r w:rsidR="00A71F32" w:rsidRPr="00F314C1">
        <w:rPr>
          <w:rFonts w:asciiTheme="minorHAnsi" w:hAnsiTheme="minorHAnsi"/>
          <w:sz w:val="24"/>
          <w:szCs w:val="24"/>
        </w:rPr>
        <w:t xml:space="preserve"> </w:t>
      </w:r>
      <w:r w:rsidR="00FE53F9" w:rsidRPr="00F314C1">
        <w:rPr>
          <w:rFonts w:asciiTheme="minorHAnsi" w:hAnsiTheme="minorHAnsi"/>
          <w:sz w:val="24"/>
          <w:szCs w:val="24"/>
        </w:rPr>
        <w:t xml:space="preserve">As with any clinical data collection effort, there are </w:t>
      </w:r>
      <w:r w:rsidR="002249E4" w:rsidRPr="00F314C1">
        <w:rPr>
          <w:rFonts w:asciiTheme="minorHAnsi" w:hAnsiTheme="minorHAnsi"/>
          <w:sz w:val="24"/>
          <w:szCs w:val="24"/>
        </w:rPr>
        <w:t xml:space="preserve">numerous </w:t>
      </w:r>
      <w:r w:rsidR="00FE53F9" w:rsidRPr="00F314C1">
        <w:rPr>
          <w:rFonts w:asciiTheme="minorHAnsi" w:hAnsiTheme="minorHAnsi"/>
          <w:sz w:val="24"/>
          <w:szCs w:val="24"/>
        </w:rPr>
        <w:t xml:space="preserve">potential sources of error in dietary assessment studies. Error (defined as the difference between the true value of a measurement and the recorded value of a measurement) has two sources: </w:t>
      </w:r>
      <w:r w:rsidR="00302C76" w:rsidRPr="00F314C1">
        <w:rPr>
          <w:rFonts w:asciiTheme="minorHAnsi" w:hAnsiTheme="minorHAnsi"/>
          <w:sz w:val="24"/>
          <w:szCs w:val="24"/>
        </w:rPr>
        <w:t>random</w:t>
      </w:r>
      <w:r w:rsidR="00FE53F9" w:rsidRPr="00F314C1">
        <w:rPr>
          <w:rFonts w:asciiTheme="minorHAnsi" w:hAnsiTheme="minorHAnsi"/>
          <w:sz w:val="24"/>
          <w:szCs w:val="24"/>
        </w:rPr>
        <w:t xml:space="preserve"> error (variability) has no preferred direction and can be minimized with large sample sizes</w:t>
      </w:r>
      <w:r w:rsidR="00610748" w:rsidRPr="00F314C1">
        <w:rPr>
          <w:rFonts w:asciiTheme="minorHAnsi" w:hAnsiTheme="minorHAnsi"/>
          <w:sz w:val="24"/>
          <w:szCs w:val="24"/>
        </w:rPr>
        <w:t>;</w:t>
      </w:r>
      <w:r w:rsidR="00FE53F9" w:rsidRPr="00F314C1">
        <w:rPr>
          <w:rFonts w:asciiTheme="minorHAnsi" w:hAnsiTheme="minorHAnsi"/>
          <w:sz w:val="24"/>
          <w:szCs w:val="24"/>
        </w:rPr>
        <w:t xml:space="preserve"> </w:t>
      </w:r>
      <w:r w:rsidR="002249E4" w:rsidRPr="00F314C1">
        <w:rPr>
          <w:rFonts w:asciiTheme="minorHAnsi" w:hAnsiTheme="minorHAnsi"/>
          <w:sz w:val="24"/>
          <w:szCs w:val="24"/>
        </w:rPr>
        <w:t xml:space="preserve">and </w:t>
      </w:r>
      <w:r w:rsidR="00FE53F9" w:rsidRPr="00F314C1">
        <w:rPr>
          <w:rFonts w:asciiTheme="minorHAnsi" w:hAnsiTheme="minorHAnsi"/>
          <w:sz w:val="24"/>
          <w:szCs w:val="24"/>
        </w:rPr>
        <w:t>systemic error (bias) has a net direction and cannot be eliminated through increases to the sample size</w:t>
      </w:r>
      <w:r w:rsidR="00651481" w:rsidRPr="00F314C1">
        <w:rPr>
          <w:rFonts w:asciiTheme="minorHAnsi" w:hAnsiTheme="minorHAnsi"/>
          <w:sz w:val="24"/>
          <w:szCs w:val="24"/>
        </w:rPr>
        <w:t xml:space="preserve"> (Penn State, 2014)</w:t>
      </w:r>
      <w:r w:rsidR="00FE53F9" w:rsidRPr="00F314C1">
        <w:rPr>
          <w:rFonts w:asciiTheme="minorHAnsi" w:hAnsiTheme="minorHAnsi"/>
          <w:sz w:val="24"/>
          <w:szCs w:val="24"/>
        </w:rPr>
        <w:t>. Three major sources of bias in dietary assessments include: selection bias (the manner in which subjects are selected from a study population)</w:t>
      </w:r>
      <w:r w:rsidR="002249E4" w:rsidRPr="00F314C1">
        <w:rPr>
          <w:rFonts w:asciiTheme="minorHAnsi" w:hAnsiTheme="minorHAnsi"/>
          <w:sz w:val="24"/>
          <w:szCs w:val="24"/>
        </w:rPr>
        <w:t>;</w:t>
      </w:r>
      <w:r w:rsidR="00FE53F9" w:rsidRPr="00F314C1">
        <w:rPr>
          <w:rFonts w:asciiTheme="minorHAnsi" w:hAnsiTheme="minorHAnsi"/>
          <w:sz w:val="24"/>
          <w:szCs w:val="24"/>
        </w:rPr>
        <w:t xml:space="preserve"> measurement bias (errors in data collection and data management)</w:t>
      </w:r>
      <w:r w:rsidR="002249E4" w:rsidRPr="00F314C1">
        <w:rPr>
          <w:rFonts w:asciiTheme="minorHAnsi" w:hAnsiTheme="minorHAnsi"/>
          <w:sz w:val="24"/>
          <w:szCs w:val="24"/>
        </w:rPr>
        <w:t>;</w:t>
      </w:r>
      <w:r w:rsidR="00FE53F9" w:rsidRPr="00F314C1">
        <w:rPr>
          <w:rFonts w:asciiTheme="minorHAnsi" w:hAnsiTheme="minorHAnsi"/>
          <w:sz w:val="24"/>
          <w:szCs w:val="24"/>
        </w:rPr>
        <w:t xml:space="preserve"> and confounding bias (a distortion </w:t>
      </w:r>
      <w:r w:rsidR="006907A4" w:rsidRPr="00F314C1">
        <w:rPr>
          <w:rFonts w:asciiTheme="minorHAnsi" w:hAnsiTheme="minorHAnsi"/>
          <w:sz w:val="24"/>
          <w:szCs w:val="24"/>
        </w:rPr>
        <w:t xml:space="preserve">created when </w:t>
      </w:r>
      <w:r w:rsidR="009C6874" w:rsidRPr="00F314C1">
        <w:rPr>
          <w:rFonts w:asciiTheme="minorHAnsi" w:hAnsiTheme="minorHAnsi"/>
          <w:sz w:val="24"/>
          <w:szCs w:val="24"/>
        </w:rPr>
        <w:t xml:space="preserve">the relationship between </w:t>
      </w:r>
      <w:r w:rsidR="00FE53F9" w:rsidRPr="00F314C1">
        <w:rPr>
          <w:rFonts w:asciiTheme="minorHAnsi" w:hAnsiTheme="minorHAnsi"/>
          <w:sz w:val="24"/>
          <w:szCs w:val="24"/>
        </w:rPr>
        <w:t xml:space="preserve">an exposure and an outcome </w:t>
      </w:r>
      <w:r w:rsidR="006907A4" w:rsidRPr="00F314C1">
        <w:rPr>
          <w:rFonts w:asciiTheme="minorHAnsi" w:hAnsiTheme="minorHAnsi"/>
          <w:sz w:val="24"/>
          <w:szCs w:val="24"/>
        </w:rPr>
        <w:t xml:space="preserve">is influenced </w:t>
      </w:r>
      <w:r w:rsidR="00FE53F9" w:rsidRPr="00F314C1">
        <w:rPr>
          <w:rFonts w:asciiTheme="minorHAnsi" w:hAnsiTheme="minorHAnsi"/>
          <w:sz w:val="24"/>
          <w:szCs w:val="24"/>
        </w:rPr>
        <w:t>by a third variable). Study design, data collection methods</w:t>
      </w:r>
      <w:r w:rsidR="002249E4" w:rsidRPr="00F314C1">
        <w:rPr>
          <w:rFonts w:asciiTheme="minorHAnsi" w:hAnsiTheme="minorHAnsi"/>
          <w:sz w:val="24"/>
          <w:szCs w:val="24"/>
        </w:rPr>
        <w:t>,</w:t>
      </w:r>
      <w:r w:rsidR="00FE53F9" w:rsidRPr="00F314C1">
        <w:rPr>
          <w:rFonts w:asciiTheme="minorHAnsi" w:hAnsiTheme="minorHAnsi"/>
          <w:sz w:val="24"/>
          <w:szCs w:val="24"/>
        </w:rPr>
        <w:t xml:space="preserve"> and quality assurance protocols are </w:t>
      </w:r>
      <w:r w:rsidR="00302C76" w:rsidRPr="00F314C1">
        <w:rPr>
          <w:rFonts w:asciiTheme="minorHAnsi" w:hAnsiTheme="minorHAnsi"/>
          <w:sz w:val="24"/>
          <w:szCs w:val="24"/>
        </w:rPr>
        <w:t>critical</w:t>
      </w:r>
      <w:r w:rsidR="00FE53F9" w:rsidRPr="00F314C1">
        <w:rPr>
          <w:rFonts w:asciiTheme="minorHAnsi" w:hAnsiTheme="minorHAnsi"/>
          <w:sz w:val="24"/>
          <w:szCs w:val="24"/>
        </w:rPr>
        <w:t xml:space="preserve"> for minimizing bias</w:t>
      </w:r>
      <w:r w:rsidR="00651481" w:rsidRPr="00F314C1">
        <w:rPr>
          <w:rFonts w:asciiTheme="minorHAnsi" w:hAnsiTheme="minorHAnsi"/>
          <w:sz w:val="24"/>
          <w:szCs w:val="24"/>
        </w:rPr>
        <w:t xml:space="preserve"> (</w:t>
      </w:r>
      <w:proofErr w:type="spellStart"/>
      <w:r w:rsidR="00651481" w:rsidRPr="00F314C1">
        <w:rPr>
          <w:rFonts w:asciiTheme="minorHAnsi" w:hAnsiTheme="minorHAnsi"/>
          <w:sz w:val="24"/>
          <w:szCs w:val="24"/>
        </w:rPr>
        <w:t>Lennern</w:t>
      </w:r>
      <w:r w:rsidR="00651481" w:rsidRPr="00F314C1">
        <w:rPr>
          <w:rFonts w:asciiTheme="minorHAnsi" w:hAnsiTheme="minorHAnsi" w:cs="Times New Roman"/>
          <w:sz w:val="24"/>
          <w:szCs w:val="24"/>
        </w:rPr>
        <w:t>ӓ</w:t>
      </w:r>
      <w:r w:rsidR="00651481" w:rsidRPr="00F314C1">
        <w:rPr>
          <w:rFonts w:asciiTheme="minorHAnsi" w:hAnsiTheme="minorHAnsi"/>
          <w:sz w:val="24"/>
          <w:szCs w:val="24"/>
        </w:rPr>
        <w:t>s</w:t>
      </w:r>
      <w:proofErr w:type="spellEnd"/>
      <w:r w:rsidR="00651481" w:rsidRPr="00F314C1">
        <w:rPr>
          <w:rFonts w:asciiTheme="minorHAnsi" w:hAnsiTheme="minorHAnsi"/>
          <w:sz w:val="24"/>
          <w:szCs w:val="24"/>
        </w:rPr>
        <w:t>, 1998)</w:t>
      </w:r>
      <w:r w:rsidR="00002099" w:rsidRPr="00F314C1">
        <w:rPr>
          <w:rFonts w:asciiTheme="minorHAnsi" w:hAnsiTheme="minorHAnsi"/>
          <w:sz w:val="24"/>
          <w:szCs w:val="24"/>
        </w:rPr>
        <w:t xml:space="preserve">. </w:t>
      </w:r>
    </w:p>
    <w:p w14:paraId="51925C93" w14:textId="27B62A93" w:rsidR="00F31E24" w:rsidRPr="00F314C1" w:rsidRDefault="00A71F32" w:rsidP="00B303CC">
      <w:pPr>
        <w:jc w:val="both"/>
        <w:rPr>
          <w:rFonts w:asciiTheme="minorHAnsi" w:hAnsiTheme="minorHAnsi"/>
          <w:sz w:val="24"/>
          <w:szCs w:val="24"/>
        </w:rPr>
      </w:pPr>
      <w:r w:rsidRPr="00F314C1">
        <w:rPr>
          <w:rFonts w:asciiTheme="minorHAnsi" w:hAnsiTheme="minorHAnsi"/>
          <w:sz w:val="24"/>
          <w:szCs w:val="24"/>
        </w:rPr>
        <w:t>Common dietary survey methods include a dietary record, 24</w:t>
      </w:r>
      <w:r w:rsidR="005D14EF" w:rsidRPr="00F314C1">
        <w:rPr>
          <w:rFonts w:asciiTheme="minorHAnsi" w:hAnsiTheme="minorHAnsi"/>
          <w:sz w:val="24"/>
          <w:szCs w:val="24"/>
        </w:rPr>
        <w:t>-</w:t>
      </w:r>
      <w:r w:rsidRPr="00F314C1">
        <w:rPr>
          <w:rFonts w:asciiTheme="minorHAnsi" w:hAnsiTheme="minorHAnsi"/>
          <w:sz w:val="24"/>
          <w:szCs w:val="24"/>
        </w:rPr>
        <w:t>hour recall</w:t>
      </w:r>
      <w:r w:rsidR="00E907F6" w:rsidRPr="00F314C1">
        <w:rPr>
          <w:rFonts w:asciiTheme="minorHAnsi" w:hAnsiTheme="minorHAnsi"/>
          <w:sz w:val="24"/>
          <w:szCs w:val="24"/>
        </w:rPr>
        <w:t>,</w:t>
      </w:r>
      <w:r w:rsidRPr="00F314C1">
        <w:rPr>
          <w:rFonts w:asciiTheme="minorHAnsi" w:hAnsiTheme="minorHAnsi"/>
          <w:sz w:val="24"/>
          <w:szCs w:val="24"/>
        </w:rPr>
        <w:t xml:space="preserve"> and food frequency questionnaires (FFQ)</w:t>
      </w:r>
      <w:r w:rsidR="00BC4929" w:rsidRPr="00F314C1">
        <w:rPr>
          <w:rFonts w:asciiTheme="minorHAnsi" w:hAnsiTheme="minorHAnsi"/>
          <w:sz w:val="24"/>
          <w:szCs w:val="24"/>
        </w:rPr>
        <w:t xml:space="preserve"> (Johnson, 2009)</w:t>
      </w:r>
      <w:r w:rsidRPr="00F314C1">
        <w:rPr>
          <w:rFonts w:asciiTheme="minorHAnsi" w:hAnsiTheme="minorHAnsi"/>
          <w:sz w:val="24"/>
          <w:szCs w:val="24"/>
        </w:rPr>
        <w:t xml:space="preserve">. The FFQ has become the primary method for measuring comparative dietary intake in epidemiological studies (Willett, 1998). An FFQ is defined as a questionnaire in which the respondent is presented with a list of foods and indicates frequency and often quantity </w:t>
      </w:r>
      <w:r w:rsidR="0063362F" w:rsidRPr="00F314C1">
        <w:rPr>
          <w:rFonts w:asciiTheme="minorHAnsi" w:hAnsiTheme="minorHAnsi"/>
          <w:sz w:val="24"/>
          <w:szCs w:val="24"/>
        </w:rPr>
        <w:t xml:space="preserve">consumed </w:t>
      </w:r>
      <w:r w:rsidRPr="00F314C1">
        <w:rPr>
          <w:rFonts w:asciiTheme="minorHAnsi" w:hAnsiTheme="minorHAnsi"/>
          <w:sz w:val="24"/>
          <w:szCs w:val="24"/>
        </w:rPr>
        <w:t>over a defined period of time. Advantages</w:t>
      </w:r>
      <w:r w:rsidR="00E34608" w:rsidRPr="00F314C1">
        <w:rPr>
          <w:rFonts w:asciiTheme="minorHAnsi" w:hAnsiTheme="minorHAnsi"/>
          <w:sz w:val="24"/>
          <w:szCs w:val="24"/>
        </w:rPr>
        <w:t xml:space="preserve"> of FFQs</w:t>
      </w:r>
      <w:r w:rsidRPr="00F314C1">
        <w:rPr>
          <w:rFonts w:asciiTheme="minorHAnsi" w:hAnsiTheme="minorHAnsi"/>
          <w:sz w:val="24"/>
          <w:szCs w:val="24"/>
        </w:rPr>
        <w:t xml:space="preserve"> are that they allow the measurement </w:t>
      </w:r>
      <w:r w:rsidR="00E34608" w:rsidRPr="00F314C1">
        <w:rPr>
          <w:rFonts w:asciiTheme="minorHAnsi" w:hAnsiTheme="minorHAnsi"/>
          <w:sz w:val="24"/>
          <w:szCs w:val="24"/>
        </w:rPr>
        <w:t>of typical</w:t>
      </w:r>
      <w:r w:rsidRPr="00F314C1">
        <w:rPr>
          <w:rFonts w:asciiTheme="minorHAnsi" w:hAnsiTheme="minorHAnsi"/>
          <w:sz w:val="24"/>
          <w:szCs w:val="24"/>
        </w:rPr>
        <w:t xml:space="preserve"> diet in one interview and are inexpensive when compared to multiple 24</w:t>
      </w:r>
      <w:r w:rsidR="005D14EF" w:rsidRPr="00F314C1">
        <w:rPr>
          <w:rFonts w:asciiTheme="minorHAnsi" w:hAnsiTheme="minorHAnsi"/>
          <w:sz w:val="24"/>
          <w:szCs w:val="24"/>
        </w:rPr>
        <w:t>-</w:t>
      </w:r>
      <w:r w:rsidRPr="00F314C1">
        <w:rPr>
          <w:rFonts w:asciiTheme="minorHAnsi" w:hAnsiTheme="minorHAnsi"/>
          <w:sz w:val="24"/>
          <w:szCs w:val="24"/>
        </w:rPr>
        <w:t>hour recalls. One disadvantage of the FFQ is that information may be lost by the limited number of foods included in the list</w:t>
      </w:r>
      <w:r w:rsidR="009C7A05" w:rsidRPr="00F314C1">
        <w:rPr>
          <w:rFonts w:asciiTheme="minorHAnsi" w:hAnsiTheme="minorHAnsi"/>
          <w:sz w:val="24"/>
          <w:szCs w:val="24"/>
        </w:rPr>
        <w:t>;</w:t>
      </w:r>
      <w:r w:rsidR="00FE53F9" w:rsidRPr="00F314C1">
        <w:rPr>
          <w:rFonts w:asciiTheme="minorHAnsi" w:hAnsiTheme="minorHAnsi"/>
          <w:sz w:val="24"/>
          <w:szCs w:val="24"/>
        </w:rPr>
        <w:t xml:space="preserve"> </w:t>
      </w:r>
      <w:r w:rsidR="009542B8" w:rsidRPr="00F314C1">
        <w:rPr>
          <w:rFonts w:asciiTheme="minorHAnsi" w:hAnsiTheme="minorHAnsi"/>
          <w:sz w:val="24"/>
          <w:szCs w:val="24"/>
        </w:rPr>
        <w:t>omission of certain foods from</w:t>
      </w:r>
      <w:r w:rsidR="008F566F" w:rsidRPr="00F314C1">
        <w:rPr>
          <w:rFonts w:asciiTheme="minorHAnsi" w:hAnsiTheme="minorHAnsi"/>
          <w:sz w:val="24"/>
          <w:szCs w:val="24"/>
        </w:rPr>
        <w:t xml:space="preserve"> the questionnaire </w:t>
      </w:r>
      <w:r w:rsidR="009C7A05" w:rsidRPr="00F314C1">
        <w:rPr>
          <w:rFonts w:asciiTheme="minorHAnsi" w:hAnsiTheme="minorHAnsi"/>
          <w:sz w:val="24"/>
          <w:szCs w:val="24"/>
        </w:rPr>
        <w:t>i</w:t>
      </w:r>
      <w:r w:rsidR="00844B4C" w:rsidRPr="00F314C1">
        <w:rPr>
          <w:rFonts w:asciiTheme="minorHAnsi" w:hAnsiTheme="minorHAnsi"/>
          <w:sz w:val="24"/>
          <w:szCs w:val="24"/>
        </w:rPr>
        <w:t>s</w:t>
      </w:r>
      <w:r w:rsidR="009542B8" w:rsidRPr="00F314C1">
        <w:rPr>
          <w:rFonts w:asciiTheme="minorHAnsi" w:hAnsiTheme="minorHAnsi"/>
          <w:sz w:val="24"/>
          <w:szCs w:val="24"/>
        </w:rPr>
        <w:t xml:space="preserve"> </w:t>
      </w:r>
      <w:r w:rsidR="009542B8" w:rsidRPr="00F314C1">
        <w:rPr>
          <w:rFonts w:asciiTheme="minorHAnsi" w:hAnsiTheme="minorHAnsi"/>
          <w:sz w:val="24"/>
          <w:szCs w:val="24"/>
        </w:rPr>
        <w:lastRenderedPageBreak/>
        <w:t xml:space="preserve">one </w:t>
      </w:r>
      <w:r w:rsidR="008F566F" w:rsidRPr="00F314C1">
        <w:rPr>
          <w:rFonts w:asciiTheme="minorHAnsi" w:hAnsiTheme="minorHAnsi"/>
          <w:sz w:val="24"/>
          <w:szCs w:val="24"/>
        </w:rPr>
        <w:t>example of</w:t>
      </w:r>
      <w:r w:rsidR="00610748" w:rsidRPr="00F314C1">
        <w:rPr>
          <w:rFonts w:asciiTheme="minorHAnsi" w:hAnsiTheme="minorHAnsi"/>
          <w:sz w:val="24"/>
          <w:szCs w:val="24"/>
        </w:rPr>
        <w:t xml:space="preserve"> systemic error in the </w:t>
      </w:r>
      <w:r w:rsidR="00FE53F9" w:rsidRPr="00F314C1">
        <w:rPr>
          <w:rFonts w:asciiTheme="minorHAnsi" w:hAnsiTheme="minorHAnsi"/>
          <w:sz w:val="24"/>
          <w:szCs w:val="24"/>
        </w:rPr>
        <w:t>data collection method</w:t>
      </w:r>
      <w:r w:rsidR="00610748" w:rsidRPr="00F314C1">
        <w:rPr>
          <w:rFonts w:asciiTheme="minorHAnsi" w:hAnsiTheme="minorHAnsi"/>
          <w:sz w:val="24"/>
          <w:szCs w:val="24"/>
        </w:rPr>
        <w:t>s</w:t>
      </w:r>
      <w:r w:rsidR="00FE53F9" w:rsidRPr="00F314C1">
        <w:rPr>
          <w:rFonts w:asciiTheme="minorHAnsi" w:hAnsiTheme="minorHAnsi"/>
          <w:sz w:val="24"/>
          <w:szCs w:val="24"/>
        </w:rPr>
        <w:t xml:space="preserve"> that can result in measurement bias</w:t>
      </w:r>
      <w:r w:rsidRPr="00F314C1">
        <w:rPr>
          <w:rFonts w:asciiTheme="minorHAnsi" w:hAnsiTheme="minorHAnsi"/>
          <w:sz w:val="24"/>
          <w:szCs w:val="24"/>
        </w:rPr>
        <w:t>.</w:t>
      </w:r>
    </w:p>
    <w:p w14:paraId="64987F68" w14:textId="4E53F1B3" w:rsidR="00412870" w:rsidRPr="00F314C1" w:rsidRDefault="00A71F32" w:rsidP="00C379D4">
      <w:pPr>
        <w:jc w:val="both"/>
        <w:rPr>
          <w:rFonts w:asciiTheme="minorHAnsi" w:hAnsiTheme="minorHAnsi"/>
          <w:b/>
          <w:sz w:val="24"/>
          <w:szCs w:val="24"/>
        </w:rPr>
      </w:pPr>
      <w:bookmarkStart w:id="26" w:name="_Toc390121645"/>
      <w:bookmarkStart w:id="27" w:name="_Toc390121736"/>
      <w:r w:rsidRPr="00F314C1">
        <w:rPr>
          <w:rFonts w:asciiTheme="minorHAnsi" w:hAnsiTheme="minorHAnsi"/>
          <w:sz w:val="24"/>
          <w:szCs w:val="24"/>
        </w:rPr>
        <w:t xml:space="preserve">EPA’s 2000 </w:t>
      </w:r>
      <w:r w:rsidRPr="00F314C1">
        <w:rPr>
          <w:rFonts w:asciiTheme="minorHAnsi" w:hAnsiTheme="minorHAnsi"/>
          <w:i/>
          <w:sz w:val="24"/>
          <w:szCs w:val="24"/>
        </w:rPr>
        <w:t xml:space="preserve">Methodology for Deriving Ambient </w:t>
      </w:r>
      <w:r w:rsidR="00D73A06">
        <w:rPr>
          <w:rFonts w:asciiTheme="minorHAnsi" w:hAnsiTheme="minorHAnsi"/>
          <w:i/>
          <w:sz w:val="24"/>
          <w:szCs w:val="24"/>
        </w:rPr>
        <w:t xml:space="preserve">Water Quality </w:t>
      </w:r>
      <w:r w:rsidRPr="00F314C1">
        <w:rPr>
          <w:rFonts w:asciiTheme="minorHAnsi" w:hAnsiTheme="minorHAnsi"/>
          <w:i/>
          <w:sz w:val="24"/>
          <w:szCs w:val="24"/>
        </w:rPr>
        <w:t>Criteria for Protection of Public Health</w:t>
      </w:r>
      <w:r w:rsidRPr="00F314C1">
        <w:rPr>
          <w:rFonts w:asciiTheme="minorHAnsi" w:hAnsiTheme="minorHAnsi"/>
          <w:sz w:val="24"/>
          <w:szCs w:val="24"/>
        </w:rPr>
        <w:t xml:space="preserve"> explains that if </w:t>
      </w:r>
      <w:r w:rsidR="00E34608" w:rsidRPr="00F314C1">
        <w:rPr>
          <w:rFonts w:asciiTheme="minorHAnsi" w:hAnsiTheme="minorHAnsi"/>
          <w:sz w:val="24"/>
          <w:szCs w:val="24"/>
        </w:rPr>
        <w:t>a state</w:t>
      </w:r>
      <w:r w:rsidRPr="00F314C1">
        <w:rPr>
          <w:rFonts w:asciiTheme="minorHAnsi" w:hAnsiTheme="minorHAnsi"/>
          <w:sz w:val="24"/>
          <w:szCs w:val="24"/>
        </w:rPr>
        <w:t xml:space="preserve"> propose</w:t>
      </w:r>
      <w:r w:rsidR="00E34608" w:rsidRPr="00F314C1">
        <w:rPr>
          <w:rFonts w:asciiTheme="minorHAnsi" w:hAnsiTheme="minorHAnsi"/>
          <w:sz w:val="24"/>
          <w:szCs w:val="24"/>
        </w:rPr>
        <w:t>s</w:t>
      </w:r>
      <w:r w:rsidRPr="00F314C1">
        <w:rPr>
          <w:rFonts w:asciiTheme="minorHAnsi" w:hAnsiTheme="minorHAnsi"/>
          <w:sz w:val="24"/>
          <w:szCs w:val="24"/>
        </w:rPr>
        <w:t xml:space="preserve"> to use a site-specific FCR instead of the EPA national default FCR, appropriate</w:t>
      </w:r>
      <w:r w:rsidR="003D3549" w:rsidRPr="00F314C1">
        <w:rPr>
          <w:rFonts w:asciiTheme="minorHAnsi" w:hAnsiTheme="minorHAnsi"/>
          <w:sz w:val="24"/>
          <w:szCs w:val="24"/>
        </w:rPr>
        <w:t xml:space="preserve"> dietary</w:t>
      </w:r>
      <w:r w:rsidRPr="00F314C1">
        <w:rPr>
          <w:rFonts w:asciiTheme="minorHAnsi" w:hAnsiTheme="minorHAnsi"/>
          <w:sz w:val="24"/>
          <w:szCs w:val="24"/>
        </w:rPr>
        <w:t xml:space="preserve"> survey data must be available to defend that FCR. </w:t>
      </w:r>
      <w:r w:rsidR="003D3549" w:rsidRPr="00F314C1">
        <w:rPr>
          <w:rFonts w:asciiTheme="minorHAnsi" w:hAnsiTheme="minorHAnsi"/>
          <w:sz w:val="24"/>
          <w:szCs w:val="24"/>
        </w:rPr>
        <w:t>Dietary surveys containing fish consumption data can be difficult to evaluate due to variation in survey objectives and high variability in fish consumption patterns</w:t>
      </w:r>
      <w:r w:rsidR="00BC4929" w:rsidRPr="00F314C1">
        <w:rPr>
          <w:rFonts w:asciiTheme="minorHAnsi" w:hAnsiTheme="minorHAnsi"/>
          <w:sz w:val="24"/>
          <w:szCs w:val="24"/>
        </w:rPr>
        <w:t xml:space="preserve"> (</w:t>
      </w:r>
      <w:r w:rsidR="00A43696">
        <w:rPr>
          <w:rFonts w:asciiTheme="minorHAnsi" w:hAnsiTheme="minorHAnsi"/>
          <w:sz w:val="24"/>
          <w:szCs w:val="24"/>
        </w:rPr>
        <w:t xml:space="preserve">Washington Dept. of </w:t>
      </w:r>
      <w:r w:rsidR="00162684" w:rsidRPr="00F314C1">
        <w:rPr>
          <w:rFonts w:asciiTheme="minorHAnsi" w:hAnsiTheme="minorHAnsi"/>
          <w:sz w:val="24"/>
          <w:szCs w:val="24"/>
        </w:rPr>
        <w:t>Ecology</w:t>
      </w:r>
      <w:r w:rsidR="00D62D25" w:rsidRPr="00F314C1">
        <w:rPr>
          <w:rFonts w:asciiTheme="minorHAnsi" w:hAnsiTheme="minorHAnsi"/>
          <w:sz w:val="24"/>
          <w:szCs w:val="24"/>
        </w:rPr>
        <w:t>, 2013</w:t>
      </w:r>
      <w:r w:rsidR="0079726E" w:rsidRPr="00F314C1">
        <w:rPr>
          <w:rFonts w:asciiTheme="minorHAnsi" w:hAnsiTheme="minorHAnsi"/>
          <w:sz w:val="24"/>
          <w:szCs w:val="24"/>
        </w:rPr>
        <w:t>; Moya, 2004</w:t>
      </w:r>
      <w:r w:rsidR="00BC4929" w:rsidRPr="00F314C1">
        <w:rPr>
          <w:rFonts w:asciiTheme="minorHAnsi" w:hAnsiTheme="minorHAnsi"/>
          <w:sz w:val="24"/>
          <w:szCs w:val="24"/>
        </w:rPr>
        <w:t>)</w:t>
      </w:r>
      <w:r w:rsidR="003D3549" w:rsidRPr="00F314C1">
        <w:rPr>
          <w:rFonts w:asciiTheme="minorHAnsi" w:hAnsiTheme="minorHAnsi"/>
          <w:sz w:val="24"/>
          <w:szCs w:val="24"/>
        </w:rPr>
        <w:t>. Several criteria are important when considering whether fish consumption data from dietary s</w:t>
      </w:r>
      <w:r w:rsidR="00D62D25" w:rsidRPr="00F314C1">
        <w:rPr>
          <w:rFonts w:asciiTheme="minorHAnsi" w:hAnsiTheme="minorHAnsi"/>
          <w:sz w:val="24"/>
          <w:szCs w:val="24"/>
        </w:rPr>
        <w:t>urveys are</w:t>
      </w:r>
      <w:r w:rsidR="003D3549" w:rsidRPr="00F314C1">
        <w:rPr>
          <w:rFonts w:asciiTheme="minorHAnsi" w:hAnsiTheme="minorHAnsi"/>
          <w:sz w:val="24"/>
          <w:szCs w:val="24"/>
        </w:rPr>
        <w:t xml:space="preserve"> applicable to development of FCRs including</w:t>
      </w:r>
      <w:r w:rsidR="00613AFE" w:rsidRPr="00F314C1">
        <w:rPr>
          <w:rFonts w:asciiTheme="minorHAnsi" w:hAnsiTheme="minorHAnsi"/>
          <w:sz w:val="24"/>
          <w:szCs w:val="24"/>
        </w:rPr>
        <w:t>:</w:t>
      </w:r>
      <w:r w:rsidR="003D3549" w:rsidRPr="00F314C1">
        <w:rPr>
          <w:rFonts w:asciiTheme="minorHAnsi" w:hAnsiTheme="minorHAnsi"/>
          <w:sz w:val="24"/>
          <w:szCs w:val="24"/>
        </w:rPr>
        <w:t xml:space="preserve"> timing of interviews, training of interviewers, consideration of fish sp</w:t>
      </w:r>
      <w:r w:rsidR="00BC4929" w:rsidRPr="00F314C1">
        <w:rPr>
          <w:rFonts w:asciiTheme="minorHAnsi" w:hAnsiTheme="minorHAnsi"/>
          <w:sz w:val="24"/>
          <w:szCs w:val="24"/>
        </w:rPr>
        <w:t xml:space="preserve">ecies, identification of </w:t>
      </w:r>
      <w:r w:rsidR="00D62D25" w:rsidRPr="00F314C1">
        <w:rPr>
          <w:rFonts w:asciiTheme="minorHAnsi" w:hAnsiTheme="minorHAnsi"/>
          <w:sz w:val="24"/>
          <w:szCs w:val="24"/>
        </w:rPr>
        <w:t xml:space="preserve">fish source, study population, </w:t>
      </w:r>
      <w:r w:rsidR="00BC4929" w:rsidRPr="00F314C1">
        <w:rPr>
          <w:rFonts w:asciiTheme="minorHAnsi" w:hAnsiTheme="minorHAnsi"/>
          <w:sz w:val="24"/>
          <w:szCs w:val="24"/>
        </w:rPr>
        <w:t>sample</w:t>
      </w:r>
      <w:r w:rsidR="00D62D25" w:rsidRPr="00F314C1">
        <w:rPr>
          <w:rFonts w:asciiTheme="minorHAnsi" w:hAnsiTheme="minorHAnsi"/>
          <w:sz w:val="24"/>
          <w:szCs w:val="24"/>
        </w:rPr>
        <w:t xml:space="preserve"> size</w:t>
      </w:r>
      <w:r w:rsidR="00613AFE" w:rsidRPr="00F314C1">
        <w:rPr>
          <w:rFonts w:asciiTheme="minorHAnsi" w:hAnsiTheme="minorHAnsi"/>
          <w:sz w:val="24"/>
          <w:szCs w:val="24"/>
        </w:rPr>
        <w:t>,</w:t>
      </w:r>
      <w:r w:rsidR="00D62D25" w:rsidRPr="00F314C1">
        <w:rPr>
          <w:rFonts w:asciiTheme="minorHAnsi" w:hAnsiTheme="minorHAnsi"/>
          <w:sz w:val="24"/>
          <w:szCs w:val="24"/>
        </w:rPr>
        <w:t xml:space="preserve"> and quality ass</w:t>
      </w:r>
      <w:r w:rsidR="00700710" w:rsidRPr="00F314C1">
        <w:rPr>
          <w:rFonts w:asciiTheme="minorHAnsi" w:hAnsiTheme="minorHAnsi"/>
          <w:sz w:val="24"/>
          <w:szCs w:val="24"/>
        </w:rPr>
        <w:t>urance</w:t>
      </w:r>
      <w:r w:rsidR="00D62D25" w:rsidRPr="00F314C1">
        <w:rPr>
          <w:rFonts w:asciiTheme="minorHAnsi" w:hAnsiTheme="minorHAnsi"/>
          <w:sz w:val="24"/>
          <w:szCs w:val="24"/>
        </w:rPr>
        <w:t>/quality control (QA/QC) procedures</w:t>
      </w:r>
      <w:r w:rsidR="00BC4929" w:rsidRPr="00F314C1">
        <w:rPr>
          <w:rFonts w:asciiTheme="minorHAnsi" w:hAnsiTheme="minorHAnsi"/>
          <w:sz w:val="24"/>
          <w:szCs w:val="24"/>
        </w:rPr>
        <w:t xml:space="preserve"> (Moya, 2004).</w:t>
      </w:r>
      <w:bookmarkEnd w:id="26"/>
      <w:bookmarkEnd w:id="27"/>
    </w:p>
    <w:p w14:paraId="64987F69" w14:textId="6BD2F3E6" w:rsidR="00BC4929" w:rsidRPr="00F314C1" w:rsidRDefault="00BC4929" w:rsidP="00C379D4">
      <w:pPr>
        <w:jc w:val="both"/>
        <w:rPr>
          <w:rFonts w:asciiTheme="minorHAnsi" w:hAnsiTheme="minorHAnsi"/>
          <w:b/>
          <w:sz w:val="24"/>
          <w:szCs w:val="24"/>
        </w:rPr>
      </w:pPr>
      <w:r w:rsidRPr="00F314C1">
        <w:rPr>
          <w:rFonts w:asciiTheme="minorHAnsi" w:hAnsiTheme="minorHAnsi"/>
          <w:sz w:val="24"/>
          <w:szCs w:val="24"/>
        </w:rPr>
        <w:t>It has</w:t>
      </w:r>
      <w:r w:rsidR="00C379D4" w:rsidRPr="00F314C1">
        <w:rPr>
          <w:rFonts w:asciiTheme="minorHAnsi" w:hAnsiTheme="minorHAnsi"/>
          <w:sz w:val="24"/>
          <w:szCs w:val="24"/>
        </w:rPr>
        <w:t xml:space="preserve"> been shown that the dietary intake</w:t>
      </w:r>
      <w:r w:rsidRPr="00F314C1">
        <w:rPr>
          <w:rFonts w:asciiTheme="minorHAnsi" w:hAnsiTheme="minorHAnsi"/>
          <w:sz w:val="24"/>
          <w:szCs w:val="24"/>
        </w:rPr>
        <w:t xml:space="preserve"> of Alaska Natives differ</w:t>
      </w:r>
      <w:r w:rsidR="00C379D4" w:rsidRPr="00F314C1">
        <w:rPr>
          <w:rFonts w:asciiTheme="minorHAnsi" w:hAnsiTheme="minorHAnsi"/>
          <w:sz w:val="24"/>
          <w:szCs w:val="24"/>
        </w:rPr>
        <w:t>s</w:t>
      </w:r>
      <w:r w:rsidRPr="00F314C1">
        <w:rPr>
          <w:rFonts w:asciiTheme="minorHAnsi" w:hAnsiTheme="minorHAnsi"/>
          <w:sz w:val="24"/>
          <w:szCs w:val="24"/>
        </w:rPr>
        <w:t xml:space="preserve"> from the general U.S. population (Nobmann, 1992). Alaska Natives consume both the foods available in community stores and their traditional subsistence foods. Subsistence food harvests vary by region within Alaska. In some regions, salmon is a main food, while in others, land mammals (</w:t>
      </w:r>
      <w:r w:rsidR="00613AFE" w:rsidRPr="00F314C1">
        <w:rPr>
          <w:rFonts w:asciiTheme="minorHAnsi" w:hAnsiTheme="minorHAnsi"/>
          <w:sz w:val="24"/>
          <w:szCs w:val="24"/>
        </w:rPr>
        <w:t xml:space="preserve">e.g., </w:t>
      </w:r>
      <w:r w:rsidRPr="00F314C1">
        <w:rPr>
          <w:rFonts w:asciiTheme="minorHAnsi" w:hAnsiTheme="minorHAnsi"/>
          <w:sz w:val="24"/>
          <w:szCs w:val="24"/>
        </w:rPr>
        <w:t>caribou</w:t>
      </w:r>
      <w:r w:rsidR="00613AFE" w:rsidRPr="00F314C1">
        <w:rPr>
          <w:rFonts w:asciiTheme="minorHAnsi" w:hAnsiTheme="minorHAnsi"/>
          <w:sz w:val="24"/>
          <w:szCs w:val="24"/>
        </w:rPr>
        <w:t xml:space="preserve">, </w:t>
      </w:r>
      <w:r w:rsidRPr="00F314C1">
        <w:rPr>
          <w:rFonts w:asciiTheme="minorHAnsi" w:hAnsiTheme="minorHAnsi"/>
          <w:sz w:val="24"/>
          <w:szCs w:val="24"/>
        </w:rPr>
        <w:t>moose</w:t>
      </w:r>
      <w:r w:rsidR="00613AFE" w:rsidRPr="00F314C1">
        <w:rPr>
          <w:rFonts w:asciiTheme="minorHAnsi" w:hAnsiTheme="minorHAnsi"/>
          <w:sz w:val="24"/>
          <w:szCs w:val="24"/>
        </w:rPr>
        <w:t>, etc.</w:t>
      </w:r>
      <w:r w:rsidRPr="00F314C1">
        <w:rPr>
          <w:rFonts w:asciiTheme="minorHAnsi" w:hAnsiTheme="minorHAnsi"/>
          <w:sz w:val="24"/>
          <w:szCs w:val="24"/>
        </w:rPr>
        <w:t>)</w:t>
      </w:r>
      <w:r w:rsidR="00613AFE" w:rsidRPr="00F314C1">
        <w:rPr>
          <w:rFonts w:asciiTheme="minorHAnsi" w:hAnsiTheme="minorHAnsi"/>
          <w:sz w:val="24"/>
          <w:szCs w:val="24"/>
        </w:rPr>
        <w:t xml:space="preserve"> or sea mammals (e.g., whales, seals, walrus, etc.)</w:t>
      </w:r>
      <w:r w:rsidRPr="00F314C1">
        <w:rPr>
          <w:rFonts w:asciiTheme="minorHAnsi" w:hAnsiTheme="minorHAnsi"/>
          <w:sz w:val="24"/>
          <w:szCs w:val="24"/>
        </w:rPr>
        <w:t xml:space="preserve"> are common foods. In nearly all regions</w:t>
      </w:r>
      <w:r w:rsidR="00613AFE" w:rsidRPr="00F314C1">
        <w:rPr>
          <w:rFonts w:asciiTheme="minorHAnsi" w:hAnsiTheme="minorHAnsi"/>
          <w:sz w:val="24"/>
          <w:szCs w:val="24"/>
        </w:rPr>
        <w:t>,</w:t>
      </w:r>
      <w:r w:rsidRPr="00F314C1">
        <w:rPr>
          <w:rFonts w:asciiTheme="minorHAnsi" w:hAnsiTheme="minorHAnsi"/>
          <w:sz w:val="24"/>
          <w:szCs w:val="24"/>
        </w:rPr>
        <w:t xml:space="preserve"> people eat wild greens and berries (Johnson, 2009). Much of the existing fish consumption data </w:t>
      </w:r>
      <w:r w:rsidR="00613AFE" w:rsidRPr="00F314C1">
        <w:rPr>
          <w:rFonts w:asciiTheme="minorHAnsi" w:hAnsiTheme="minorHAnsi"/>
          <w:sz w:val="24"/>
          <w:szCs w:val="24"/>
        </w:rPr>
        <w:t xml:space="preserve">are </w:t>
      </w:r>
      <w:r w:rsidRPr="00F314C1">
        <w:rPr>
          <w:rFonts w:asciiTheme="minorHAnsi" w:hAnsiTheme="minorHAnsi"/>
          <w:sz w:val="24"/>
          <w:szCs w:val="24"/>
        </w:rPr>
        <w:t>contained in dietary surveys conducted with the objective of learning more about the diet of Alaska Natives.</w:t>
      </w:r>
    </w:p>
    <w:p w14:paraId="64987F6A" w14:textId="51452C82" w:rsidR="00A71F32" w:rsidRPr="00F314C1" w:rsidRDefault="00A57356" w:rsidP="00C379D4">
      <w:pPr>
        <w:jc w:val="both"/>
        <w:rPr>
          <w:rFonts w:asciiTheme="minorHAnsi" w:hAnsiTheme="minorHAnsi"/>
          <w:sz w:val="24"/>
          <w:szCs w:val="24"/>
        </w:rPr>
      </w:pPr>
      <w:r w:rsidRPr="00F314C1">
        <w:rPr>
          <w:rFonts w:asciiTheme="minorHAnsi" w:hAnsiTheme="minorHAnsi"/>
          <w:sz w:val="24"/>
          <w:szCs w:val="24"/>
        </w:rPr>
        <w:fldChar w:fldCharType="begin"/>
      </w:r>
      <w:r w:rsidRPr="00F314C1">
        <w:rPr>
          <w:rFonts w:asciiTheme="minorHAnsi" w:hAnsiTheme="minorHAnsi"/>
          <w:sz w:val="24"/>
          <w:szCs w:val="24"/>
        </w:rPr>
        <w:instrText xml:space="preserve"> REF _Ref390105167 \h  \* MERGEFORMAT </w:instrText>
      </w:r>
      <w:r w:rsidRPr="00F314C1">
        <w:rPr>
          <w:rFonts w:asciiTheme="minorHAnsi" w:hAnsiTheme="minorHAnsi"/>
          <w:sz w:val="24"/>
          <w:szCs w:val="24"/>
        </w:rPr>
      </w:r>
      <w:r w:rsidRPr="00F314C1">
        <w:rPr>
          <w:rFonts w:asciiTheme="minorHAnsi" w:hAnsiTheme="minorHAnsi"/>
          <w:sz w:val="24"/>
          <w:szCs w:val="24"/>
        </w:rPr>
        <w:fldChar w:fldCharType="separate"/>
      </w:r>
      <w:bookmarkStart w:id="28" w:name="_Toc390121646"/>
      <w:bookmarkStart w:id="29" w:name="_Toc390121737"/>
      <w:r w:rsidR="00B67938" w:rsidRPr="00F314C1">
        <w:rPr>
          <w:rFonts w:asciiTheme="minorHAnsi" w:hAnsiTheme="minorHAnsi"/>
          <w:sz w:val="24"/>
          <w:szCs w:val="24"/>
        </w:rPr>
        <w:t xml:space="preserve">Table </w:t>
      </w:r>
      <w:r w:rsidR="00B67938">
        <w:rPr>
          <w:rFonts w:asciiTheme="minorHAnsi" w:hAnsiTheme="minorHAnsi"/>
          <w:sz w:val="24"/>
          <w:szCs w:val="24"/>
        </w:rPr>
        <w:t>1</w:t>
      </w:r>
      <w:r w:rsidRPr="00F314C1">
        <w:rPr>
          <w:rFonts w:asciiTheme="minorHAnsi" w:hAnsiTheme="minorHAnsi"/>
          <w:sz w:val="24"/>
          <w:szCs w:val="24"/>
        </w:rPr>
        <w:fldChar w:fldCharType="end"/>
      </w:r>
      <w:r w:rsidR="00C751B3" w:rsidRPr="00F314C1">
        <w:rPr>
          <w:rFonts w:asciiTheme="minorHAnsi" w:hAnsiTheme="minorHAnsi"/>
          <w:sz w:val="24"/>
          <w:szCs w:val="24"/>
        </w:rPr>
        <w:t xml:space="preserve"> </w:t>
      </w:r>
      <w:r w:rsidR="00BC4929" w:rsidRPr="00F314C1">
        <w:rPr>
          <w:rFonts w:asciiTheme="minorHAnsi" w:hAnsiTheme="minorHAnsi"/>
          <w:sz w:val="24"/>
          <w:szCs w:val="24"/>
        </w:rPr>
        <w:t xml:space="preserve">summarizes the dietary survey information reviewed in this report. It provides a brief overview of </w:t>
      </w:r>
      <w:r w:rsidR="00C379D4" w:rsidRPr="00F314C1">
        <w:rPr>
          <w:rFonts w:asciiTheme="minorHAnsi" w:hAnsiTheme="minorHAnsi"/>
          <w:sz w:val="24"/>
          <w:szCs w:val="24"/>
        </w:rPr>
        <w:t>key</w:t>
      </w:r>
      <w:r w:rsidR="00BC4929" w:rsidRPr="00F314C1">
        <w:rPr>
          <w:rFonts w:asciiTheme="minorHAnsi" w:hAnsiTheme="minorHAnsi"/>
          <w:sz w:val="24"/>
          <w:szCs w:val="24"/>
        </w:rPr>
        <w:t xml:space="preserve"> study information and the findings reported.</w:t>
      </w:r>
      <w:bookmarkEnd w:id="28"/>
      <w:bookmarkEnd w:id="29"/>
      <w:r w:rsidR="00D62D25" w:rsidRPr="00F314C1">
        <w:rPr>
          <w:rFonts w:asciiTheme="minorHAnsi" w:hAnsiTheme="minorHAnsi"/>
          <w:b/>
          <w:sz w:val="24"/>
          <w:szCs w:val="24"/>
        </w:rPr>
        <w:t xml:space="preserve"> </w:t>
      </w:r>
      <w:r w:rsidR="00613AFE" w:rsidRPr="00F314C1">
        <w:rPr>
          <w:rFonts w:asciiTheme="minorHAnsi" w:hAnsiTheme="minorHAnsi"/>
          <w:sz w:val="24"/>
          <w:szCs w:val="24"/>
        </w:rPr>
        <w:t>A</w:t>
      </w:r>
      <w:r w:rsidR="00D62D25" w:rsidRPr="00F314C1">
        <w:rPr>
          <w:rFonts w:asciiTheme="minorHAnsi" w:hAnsiTheme="minorHAnsi"/>
          <w:sz w:val="24"/>
          <w:szCs w:val="24"/>
        </w:rPr>
        <w:t xml:space="preserve"> detailed assessment of each dietary survey study</w:t>
      </w:r>
      <w:r w:rsidR="0079726E" w:rsidRPr="00F314C1">
        <w:rPr>
          <w:rFonts w:asciiTheme="minorHAnsi" w:hAnsiTheme="minorHAnsi"/>
          <w:sz w:val="24"/>
          <w:szCs w:val="24"/>
        </w:rPr>
        <w:t xml:space="preserve"> is provided after</w:t>
      </w:r>
      <w:r w:rsidR="00613AFE" w:rsidRPr="00F314C1">
        <w:rPr>
          <w:rFonts w:asciiTheme="minorHAnsi" w:hAnsiTheme="minorHAnsi"/>
          <w:sz w:val="24"/>
          <w:szCs w:val="24"/>
        </w:rPr>
        <w:t xml:space="preserve"> the table.</w:t>
      </w:r>
    </w:p>
    <w:p w14:paraId="26359A39" w14:textId="77777777" w:rsidR="00C379D4" w:rsidRPr="00F314C1" w:rsidRDefault="00C379D4" w:rsidP="00C379D4">
      <w:pPr>
        <w:jc w:val="both"/>
        <w:rPr>
          <w:rFonts w:asciiTheme="minorHAnsi" w:hAnsiTheme="minorHAnsi"/>
          <w:sz w:val="24"/>
          <w:szCs w:val="24"/>
        </w:rPr>
        <w:sectPr w:rsidR="00C379D4" w:rsidRPr="00F314C1" w:rsidSect="00703C71">
          <w:headerReference w:type="default" r:id="rId13"/>
          <w:footerReference w:type="default" r:id="rId14"/>
          <w:headerReference w:type="first" r:id="rId15"/>
          <w:footnotePr>
            <w:numFmt w:val="chicago"/>
          </w:footnotePr>
          <w:pgSz w:w="12240" w:h="15840"/>
          <w:pgMar w:top="1440" w:right="1440" w:bottom="1440" w:left="1440" w:header="432" w:footer="720" w:gutter="0"/>
          <w:cols w:space="720"/>
          <w:titlePg/>
          <w:docGrid w:linePitch="360"/>
        </w:sectPr>
      </w:pPr>
    </w:p>
    <w:p w14:paraId="64987F6B" w14:textId="349DE2B2" w:rsidR="00131039" w:rsidRPr="00F314C1" w:rsidRDefault="00BC4929" w:rsidP="00BC4929">
      <w:pPr>
        <w:pStyle w:val="Caption"/>
        <w:rPr>
          <w:rFonts w:asciiTheme="minorHAnsi" w:hAnsiTheme="minorHAnsi"/>
          <w:color w:val="auto"/>
          <w:sz w:val="24"/>
          <w:szCs w:val="24"/>
        </w:rPr>
      </w:pPr>
      <w:bookmarkStart w:id="30" w:name="_Ref390105167"/>
      <w:bookmarkStart w:id="31" w:name="_Ref390105155"/>
      <w:r w:rsidRPr="00F314C1">
        <w:rPr>
          <w:rFonts w:asciiTheme="minorHAnsi" w:hAnsiTheme="minorHAnsi"/>
          <w:color w:val="auto"/>
          <w:sz w:val="24"/>
          <w:szCs w:val="24"/>
        </w:rPr>
        <w:lastRenderedPageBreak/>
        <w:t xml:space="preserve">Table </w:t>
      </w:r>
      <w:r w:rsidR="00DD22B0" w:rsidRPr="00F314C1">
        <w:rPr>
          <w:rFonts w:asciiTheme="minorHAnsi" w:hAnsiTheme="minorHAnsi"/>
          <w:color w:val="auto"/>
          <w:sz w:val="24"/>
          <w:szCs w:val="24"/>
        </w:rPr>
        <w:fldChar w:fldCharType="begin"/>
      </w:r>
      <w:r w:rsidRPr="00F314C1">
        <w:rPr>
          <w:rFonts w:asciiTheme="minorHAnsi" w:hAnsiTheme="minorHAnsi"/>
          <w:color w:val="auto"/>
          <w:sz w:val="24"/>
          <w:szCs w:val="24"/>
        </w:rPr>
        <w:instrText xml:space="preserve"> SEQ Table \* ARABIC </w:instrText>
      </w:r>
      <w:r w:rsidR="00DD22B0" w:rsidRPr="00F314C1">
        <w:rPr>
          <w:rFonts w:asciiTheme="minorHAnsi" w:hAnsiTheme="minorHAnsi"/>
          <w:color w:val="auto"/>
          <w:sz w:val="24"/>
          <w:szCs w:val="24"/>
        </w:rPr>
        <w:fldChar w:fldCharType="separate"/>
      </w:r>
      <w:r w:rsidR="00B67938">
        <w:rPr>
          <w:rFonts w:asciiTheme="minorHAnsi" w:hAnsiTheme="minorHAnsi"/>
          <w:noProof/>
          <w:color w:val="auto"/>
          <w:sz w:val="24"/>
          <w:szCs w:val="24"/>
        </w:rPr>
        <w:t>1</w:t>
      </w:r>
      <w:r w:rsidR="00DD22B0" w:rsidRPr="00F314C1">
        <w:rPr>
          <w:rFonts w:asciiTheme="minorHAnsi" w:hAnsiTheme="minorHAnsi"/>
          <w:color w:val="auto"/>
          <w:sz w:val="24"/>
          <w:szCs w:val="24"/>
        </w:rPr>
        <w:fldChar w:fldCharType="end"/>
      </w:r>
      <w:bookmarkEnd w:id="30"/>
      <w:r w:rsidR="0079726E" w:rsidRPr="00F314C1">
        <w:rPr>
          <w:rFonts w:asciiTheme="minorHAnsi" w:hAnsiTheme="minorHAnsi"/>
          <w:color w:val="auto"/>
          <w:sz w:val="24"/>
          <w:szCs w:val="24"/>
        </w:rPr>
        <w:t>.</w:t>
      </w:r>
      <w:r w:rsidR="007B3D53" w:rsidRPr="00F314C1">
        <w:rPr>
          <w:rFonts w:asciiTheme="minorHAnsi" w:hAnsiTheme="minorHAnsi"/>
          <w:color w:val="auto"/>
          <w:sz w:val="24"/>
          <w:szCs w:val="24"/>
        </w:rPr>
        <w:t xml:space="preserve"> Literature Summary Matrix</w:t>
      </w:r>
      <w:bookmarkEnd w:id="31"/>
      <w:r w:rsidR="00DB15DF" w:rsidRPr="00F314C1">
        <w:rPr>
          <w:rFonts w:asciiTheme="minorHAnsi" w:hAnsiTheme="minorHAnsi"/>
          <w:color w:val="auto"/>
          <w:sz w:val="24"/>
          <w:szCs w:val="24"/>
        </w:rPr>
        <w:t xml:space="preserve"> of Dietary Survey Information</w:t>
      </w:r>
    </w:p>
    <w:tbl>
      <w:tblPr>
        <w:tblStyle w:val="LightList-Accent1"/>
        <w:tblW w:w="0" w:type="auto"/>
        <w:tblLook w:val="04A0" w:firstRow="1" w:lastRow="0" w:firstColumn="1" w:lastColumn="0" w:noHBand="0" w:noVBand="1"/>
      </w:tblPr>
      <w:tblGrid>
        <w:gridCol w:w="1614"/>
        <w:gridCol w:w="1608"/>
        <w:gridCol w:w="742"/>
        <w:gridCol w:w="1522"/>
        <w:gridCol w:w="1831"/>
        <w:gridCol w:w="1316"/>
        <w:gridCol w:w="1571"/>
      </w:tblGrid>
      <w:tr w:rsidR="0050225D" w:rsidRPr="00B6608B" w14:paraId="64987F73" w14:textId="77777777" w:rsidTr="00C379D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64987F6D" w14:textId="3D581C23" w:rsidR="00613AFE" w:rsidRPr="00F314C1" w:rsidRDefault="00613AFE" w:rsidP="00613AFE">
            <w:pPr>
              <w:spacing w:before="0" w:line="240" w:lineRule="auto"/>
              <w:jc w:val="center"/>
              <w:rPr>
                <w:rFonts w:asciiTheme="minorHAnsi" w:hAnsiTheme="minorHAnsi"/>
              </w:rPr>
            </w:pPr>
            <w:r w:rsidRPr="00F314C1">
              <w:rPr>
                <w:rFonts w:asciiTheme="minorHAnsi" w:hAnsiTheme="minorHAnsi"/>
              </w:rPr>
              <w:t>Title</w:t>
            </w:r>
          </w:p>
        </w:tc>
        <w:tc>
          <w:tcPr>
            <w:tcW w:w="2070" w:type="dxa"/>
            <w:vAlign w:val="center"/>
          </w:tcPr>
          <w:p w14:paraId="2BA5E09B" w14:textId="7749B2C2" w:rsidR="00613AFE" w:rsidRPr="00F314C1" w:rsidRDefault="00613AFE" w:rsidP="00613AFE">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F314C1">
              <w:rPr>
                <w:rFonts w:asciiTheme="minorHAnsi" w:hAnsiTheme="minorHAnsi"/>
              </w:rPr>
              <w:t>Author</w:t>
            </w:r>
          </w:p>
        </w:tc>
        <w:tc>
          <w:tcPr>
            <w:tcW w:w="810" w:type="dxa"/>
            <w:vAlign w:val="center"/>
          </w:tcPr>
          <w:p w14:paraId="64987F6E" w14:textId="124CF564" w:rsidR="00613AFE" w:rsidRPr="00F314C1" w:rsidRDefault="00613AFE" w:rsidP="00613AFE">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F314C1">
              <w:rPr>
                <w:rFonts w:asciiTheme="minorHAnsi" w:hAnsiTheme="minorHAnsi"/>
              </w:rPr>
              <w:t>Year</w:t>
            </w:r>
          </w:p>
        </w:tc>
        <w:tc>
          <w:tcPr>
            <w:tcW w:w="1710" w:type="dxa"/>
            <w:vAlign w:val="center"/>
          </w:tcPr>
          <w:p w14:paraId="64987F6F" w14:textId="77777777" w:rsidR="00613AFE" w:rsidRPr="00F314C1" w:rsidRDefault="00613AFE" w:rsidP="00613AFE">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F314C1">
              <w:rPr>
                <w:rFonts w:asciiTheme="minorHAnsi" w:hAnsiTheme="minorHAnsi"/>
              </w:rPr>
              <w:t>Data Collection Method</w:t>
            </w:r>
          </w:p>
        </w:tc>
        <w:tc>
          <w:tcPr>
            <w:tcW w:w="1620" w:type="dxa"/>
            <w:vAlign w:val="center"/>
          </w:tcPr>
          <w:p w14:paraId="64987F70" w14:textId="77777777" w:rsidR="00613AFE" w:rsidRPr="00F314C1" w:rsidRDefault="00613AFE" w:rsidP="00613AFE">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F314C1">
              <w:rPr>
                <w:rFonts w:asciiTheme="minorHAnsi" w:hAnsiTheme="minorHAnsi"/>
              </w:rPr>
              <w:t>Study Location</w:t>
            </w:r>
          </w:p>
        </w:tc>
        <w:tc>
          <w:tcPr>
            <w:tcW w:w="2114" w:type="dxa"/>
            <w:vAlign w:val="center"/>
          </w:tcPr>
          <w:p w14:paraId="64987F71" w14:textId="6808765C" w:rsidR="00613AFE" w:rsidRPr="00F314C1" w:rsidRDefault="00613AFE" w:rsidP="00613AFE">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F314C1">
              <w:rPr>
                <w:rFonts w:asciiTheme="minorHAnsi" w:hAnsiTheme="minorHAnsi"/>
              </w:rPr>
              <w:t>Average Fish Intake</w:t>
            </w:r>
          </w:p>
        </w:tc>
        <w:tc>
          <w:tcPr>
            <w:tcW w:w="2224" w:type="dxa"/>
            <w:vAlign w:val="center"/>
          </w:tcPr>
          <w:p w14:paraId="64987F72" w14:textId="77777777" w:rsidR="00613AFE" w:rsidRPr="00F314C1" w:rsidRDefault="00613AFE" w:rsidP="00613AFE">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F314C1">
              <w:rPr>
                <w:rFonts w:asciiTheme="minorHAnsi" w:hAnsiTheme="minorHAnsi"/>
              </w:rPr>
              <w:t>Other Findings</w:t>
            </w:r>
          </w:p>
        </w:tc>
      </w:tr>
      <w:tr w:rsidR="0050225D" w:rsidRPr="00B6608B" w14:paraId="64987F7D" w14:textId="77777777" w:rsidTr="00C37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64987F76" w14:textId="77777777" w:rsidR="00613AFE" w:rsidRPr="00F314C1" w:rsidRDefault="00613AFE" w:rsidP="00613AFE">
            <w:pPr>
              <w:spacing w:before="0" w:line="240" w:lineRule="auto"/>
              <w:rPr>
                <w:rFonts w:asciiTheme="minorHAnsi" w:hAnsiTheme="minorHAnsi"/>
                <w:b w:val="0"/>
                <w:bCs w:val="0"/>
              </w:rPr>
            </w:pPr>
            <w:r w:rsidRPr="00F314C1">
              <w:rPr>
                <w:rFonts w:asciiTheme="minorHAnsi" w:hAnsiTheme="minorHAnsi"/>
              </w:rPr>
              <w:t>The Final Report on the Alaska Traditional Diet Survey</w:t>
            </w:r>
          </w:p>
          <w:p w14:paraId="64987F77" w14:textId="77777777" w:rsidR="00613AFE" w:rsidRPr="00F314C1" w:rsidRDefault="00613AFE" w:rsidP="00613AFE">
            <w:pPr>
              <w:spacing w:before="0" w:line="240" w:lineRule="auto"/>
              <w:rPr>
                <w:rFonts w:asciiTheme="minorHAnsi" w:hAnsiTheme="minorHAnsi"/>
                <w:b w:val="0"/>
              </w:rPr>
            </w:pPr>
          </w:p>
        </w:tc>
        <w:tc>
          <w:tcPr>
            <w:tcW w:w="2070" w:type="dxa"/>
          </w:tcPr>
          <w:p w14:paraId="4D30E024" w14:textId="767CD886" w:rsidR="00613AFE" w:rsidRPr="00F314C1" w:rsidRDefault="00613AFE" w:rsidP="00613AFE">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F314C1">
              <w:rPr>
                <w:rFonts w:asciiTheme="minorHAnsi" w:hAnsiTheme="minorHAnsi"/>
                <w:bCs/>
              </w:rPr>
              <w:t>Alaska Native Health Board and the Alaska Native Epidemiology Center</w:t>
            </w:r>
            <w:r w:rsidR="00D73A06">
              <w:rPr>
                <w:rFonts w:asciiTheme="minorHAnsi" w:hAnsiTheme="minorHAnsi"/>
                <w:bCs/>
              </w:rPr>
              <w:t xml:space="preserve"> of the Alaska Native Health Board</w:t>
            </w:r>
          </w:p>
        </w:tc>
        <w:tc>
          <w:tcPr>
            <w:tcW w:w="810" w:type="dxa"/>
          </w:tcPr>
          <w:p w14:paraId="64987F78" w14:textId="315962D2" w:rsidR="00613AFE" w:rsidRPr="00F314C1" w:rsidRDefault="00613AFE" w:rsidP="00613AFE">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F314C1">
              <w:rPr>
                <w:rFonts w:asciiTheme="minorHAnsi" w:hAnsiTheme="minorHAnsi"/>
              </w:rPr>
              <w:t>2002</w:t>
            </w:r>
          </w:p>
        </w:tc>
        <w:tc>
          <w:tcPr>
            <w:tcW w:w="1710" w:type="dxa"/>
          </w:tcPr>
          <w:p w14:paraId="64987F79" w14:textId="77777777" w:rsidR="00613AFE" w:rsidRPr="00F314C1" w:rsidRDefault="00613AFE" w:rsidP="00613AFE">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F314C1">
              <w:rPr>
                <w:rFonts w:asciiTheme="minorHAnsi" w:hAnsiTheme="minorHAnsi"/>
              </w:rPr>
              <w:t>Dietary Survey (in person interview)</w:t>
            </w:r>
          </w:p>
        </w:tc>
        <w:tc>
          <w:tcPr>
            <w:tcW w:w="1620" w:type="dxa"/>
          </w:tcPr>
          <w:p w14:paraId="64987F7A" w14:textId="77777777" w:rsidR="00613AFE" w:rsidRPr="00F314C1" w:rsidRDefault="00613AFE" w:rsidP="00613AFE">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F314C1">
              <w:rPr>
                <w:rFonts w:asciiTheme="minorHAnsi" w:hAnsiTheme="minorHAnsi"/>
              </w:rPr>
              <w:t>13 Villages throughout Alaska</w:t>
            </w:r>
          </w:p>
        </w:tc>
        <w:tc>
          <w:tcPr>
            <w:tcW w:w="2114" w:type="dxa"/>
          </w:tcPr>
          <w:p w14:paraId="64987F7B" w14:textId="77777777" w:rsidR="00613AFE" w:rsidRPr="00F314C1" w:rsidRDefault="00613AFE" w:rsidP="00613AFE">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224" w:type="dxa"/>
          </w:tcPr>
          <w:p w14:paraId="64987F7C" w14:textId="77777777" w:rsidR="00613AFE" w:rsidRPr="00F314C1" w:rsidRDefault="00613AFE" w:rsidP="00613AFE">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F314C1">
              <w:rPr>
                <w:rFonts w:asciiTheme="minorHAnsi" w:hAnsiTheme="minorHAnsi"/>
              </w:rPr>
              <w:t>Reported per person median and maximum fish consumption in pounds for each region.</w:t>
            </w:r>
          </w:p>
        </w:tc>
      </w:tr>
      <w:tr w:rsidR="0050225D" w:rsidRPr="00B6608B" w14:paraId="64987F85" w14:textId="77777777" w:rsidTr="00C379D4">
        <w:tc>
          <w:tcPr>
            <w:cnfStyle w:val="001000000000" w:firstRow="0" w:lastRow="0" w:firstColumn="1" w:lastColumn="0" w:oddVBand="0" w:evenVBand="0" w:oddHBand="0" w:evenHBand="0" w:firstRowFirstColumn="0" w:firstRowLastColumn="0" w:lastRowFirstColumn="0" w:lastRowLastColumn="0"/>
            <w:tcW w:w="2628" w:type="dxa"/>
          </w:tcPr>
          <w:p w14:paraId="64987F7F" w14:textId="72A43F82" w:rsidR="00613AFE" w:rsidRPr="00F314C1" w:rsidRDefault="00613AFE" w:rsidP="00613AFE">
            <w:pPr>
              <w:spacing w:before="0" w:line="240" w:lineRule="auto"/>
              <w:rPr>
                <w:rFonts w:asciiTheme="minorHAnsi" w:hAnsiTheme="minorHAnsi"/>
                <w:b w:val="0"/>
              </w:rPr>
            </w:pPr>
            <w:r w:rsidRPr="00F314C1">
              <w:rPr>
                <w:rFonts w:asciiTheme="minorHAnsi" w:hAnsiTheme="minorHAnsi"/>
              </w:rPr>
              <w:t xml:space="preserve">Evaluation of Seafood and Plant Data Collected from Cook Inlet near Native Villages of Port Graham, </w:t>
            </w:r>
            <w:proofErr w:type="spellStart"/>
            <w:r w:rsidR="00F37FED">
              <w:rPr>
                <w:rFonts w:asciiTheme="minorHAnsi" w:hAnsiTheme="minorHAnsi"/>
              </w:rPr>
              <w:t>Nanwalek</w:t>
            </w:r>
            <w:proofErr w:type="spellEnd"/>
            <w:r w:rsidRPr="00F314C1">
              <w:rPr>
                <w:rFonts w:asciiTheme="minorHAnsi" w:hAnsiTheme="minorHAnsi"/>
              </w:rPr>
              <w:t xml:space="preserve">, </w:t>
            </w:r>
            <w:proofErr w:type="spellStart"/>
            <w:r w:rsidRPr="00F314C1">
              <w:rPr>
                <w:rFonts w:asciiTheme="minorHAnsi" w:hAnsiTheme="minorHAnsi"/>
              </w:rPr>
              <w:t>Seldovia</w:t>
            </w:r>
            <w:proofErr w:type="spellEnd"/>
            <w:r w:rsidRPr="00F314C1">
              <w:rPr>
                <w:rFonts w:asciiTheme="minorHAnsi" w:hAnsiTheme="minorHAnsi"/>
              </w:rPr>
              <w:t xml:space="preserve"> and </w:t>
            </w:r>
            <w:proofErr w:type="spellStart"/>
            <w:r w:rsidRPr="00F314C1">
              <w:rPr>
                <w:rFonts w:asciiTheme="minorHAnsi" w:hAnsiTheme="minorHAnsi"/>
              </w:rPr>
              <w:t>Tyonek</w:t>
            </w:r>
            <w:proofErr w:type="spellEnd"/>
            <w:r w:rsidRPr="00F314C1">
              <w:rPr>
                <w:rFonts w:asciiTheme="minorHAnsi" w:hAnsiTheme="minorHAnsi"/>
              </w:rPr>
              <w:t>, Alaska</w:t>
            </w:r>
          </w:p>
        </w:tc>
        <w:tc>
          <w:tcPr>
            <w:tcW w:w="2070" w:type="dxa"/>
          </w:tcPr>
          <w:p w14:paraId="5C5FC199" w14:textId="145733EF" w:rsidR="00613AFE" w:rsidRPr="00F314C1" w:rsidRDefault="00613AFE" w:rsidP="00613AFE">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F314C1">
              <w:rPr>
                <w:rFonts w:asciiTheme="minorHAnsi" w:hAnsiTheme="minorHAnsi"/>
              </w:rPr>
              <w:t>Agency for Toxic Substances and Disease Registry, Division of Health Assessment and Consultation</w:t>
            </w:r>
          </w:p>
        </w:tc>
        <w:tc>
          <w:tcPr>
            <w:tcW w:w="810" w:type="dxa"/>
          </w:tcPr>
          <w:p w14:paraId="64987F80" w14:textId="2AA135C5" w:rsidR="00613AFE" w:rsidRPr="00F314C1" w:rsidRDefault="00613AFE" w:rsidP="00613AFE">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F314C1">
              <w:rPr>
                <w:rFonts w:asciiTheme="minorHAnsi" w:hAnsiTheme="minorHAnsi"/>
              </w:rPr>
              <w:t>200</w:t>
            </w:r>
            <w:r w:rsidR="00457732" w:rsidRPr="00F314C1">
              <w:rPr>
                <w:rFonts w:asciiTheme="minorHAnsi" w:hAnsiTheme="minorHAnsi"/>
              </w:rPr>
              <w:t>9</w:t>
            </w:r>
          </w:p>
        </w:tc>
        <w:tc>
          <w:tcPr>
            <w:tcW w:w="1710" w:type="dxa"/>
          </w:tcPr>
          <w:p w14:paraId="64987F81" w14:textId="77777777" w:rsidR="00613AFE" w:rsidRPr="00F314C1" w:rsidRDefault="00613AFE" w:rsidP="00613AFE">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F314C1">
              <w:rPr>
                <w:rFonts w:asciiTheme="minorHAnsi" w:hAnsiTheme="minorHAnsi"/>
              </w:rPr>
              <w:t>Food Frequency Interviews</w:t>
            </w:r>
          </w:p>
        </w:tc>
        <w:tc>
          <w:tcPr>
            <w:tcW w:w="1620" w:type="dxa"/>
          </w:tcPr>
          <w:p w14:paraId="64987F82" w14:textId="77777777" w:rsidR="00613AFE" w:rsidRPr="00F314C1" w:rsidRDefault="00613AFE" w:rsidP="00613AFE">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F314C1">
              <w:rPr>
                <w:rFonts w:asciiTheme="minorHAnsi" w:hAnsiTheme="minorHAnsi"/>
              </w:rPr>
              <w:t>Port Graham, AK</w:t>
            </w:r>
          </w:p>
        </w:tc>
        <w:tc>
          <w:tcPr>
            <w:tcW w:w="2114" w:type="dxa"/>
          </w:tcPr>
          <w:p w14:paraId="64987F83" w14:textId="77777777" w:rsidR="00613AFE" w:rsidRPr="00F314C1" w:rsidRDefault="00613AFE" w:rsidP="00613AFE">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F314C1">
              <w:rPr>
                <w:rFonts w:asciiTheme="minorHAnsi" w:hAnsiTheme="minorHAnsi"/>
              </w:rPr>
              <w:t>142-256 g/day (teens and adults averaged)</w:t>
            </w:r>
          </w:p>
        </w:tc>
        <w:tc>
          <w:tcPr>
            <w:tcW w:w="2224" w:type="dxa"/>
          </w:tcPr>
          <w:p w14:paraId="64987F84" w14:textId="77777777" w:rsidR="00613AFE" w:rsidRPr="00F314C1" w:rsidRDefault="00613AFE" w:rsidP="00613AFE">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50225D" w:rsidRPr="00B6608B" w14:paraId="64987F8D" w14:textId="77777777" w:rsidTr="00C37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64987F87" w14:textId="77777777" w:rsidR="00613AFE" w:rsidRPr="00F314C1" w:rsidRDefault="00613AFE" w:rsidP="00613AFE">
            <w:pPr>
              <w:spacing w:before="0" w:line="240" w:lineRule="auto"/>
              <w:rPr>
                <w:rFonts w:asciiTheme="minorHAnsi" w:hAnsiTheme="minorHAnsi"/>
                <w:b w:val="0"/>
              </w:rPr>
            </w:pPr>
            <w:r w:rsidRPr="00F314C1">
              <w:rPr>
                <w:rFonts w:asciiTheme="minorHAnsi" w:hAnsiTheme="minorHAnsi"/>
              </w:rPr>
              <w:t>Investigation into Potential Exposures to Mercury Vapor in Small Scale and Recreational Mining – 2012</w:t>
            </w:r>
          </w:p>
        </w:tc>
        <w:tc>
          <w:tcPr>
            <w:tcW w:w="2070" w:type="dxa"/>
          </w:tcPr>
          <w:p w14:paraId="1D747D87" w14:textId="70700F1E" w:rsidR="00613AFE" w:rsidRPr="00F314C1" w:rsidRDefault="00613AFE" w:rsidP="00613AFE">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F314C1">
              <w:rPr>
                <w:rFonts w:asciiTheme="minorHAnsi" w:hAnsiTheme="minorHAnsi"/>
              </w:rPr>
              <w:t>Alaska Department of Health and Social Services</w:t>
            </w:r>
          </w:p>
        </w:tc>
        <w:tc>
          <w:tcPr>
            <w:tcW w:w="810" w:type="dxa"/>
          </w:tcPr>
          <w:p w14:paraId="64987F88" w14:textId="3785A76B" w:rsidR="00613AFE" w:rsidRPr="00F314C1" w:rsidRDefault="00613AFE" w:rsidP="00613AFE">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F314C1">
              <w:rPr>
                <w:rFonts w:asciiTheme="minorHAnsi" w:hAnsiTheme="minorHAnsi"/>
              </w:rPr>
              <w:t>2012</w:t>
            </w:r>
          </w:p>
        </w:tc>
        <w:tc>
          <w:tcPr>
            <w:tcW w:w="1710" w:type="dxa"/>
          </w:tcPr>
          <w:p w14:paraId="64987F89" w14:textId="77777777" w:rsidR="00613AFE" w:rsidRPr="00F314C1" w:rsidRDefault="00613AFE" w:rsidP="00613AFE">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F314C1">
              <w:rPr>
                <w:rFonts w:asciiTheme="minorHAnsi" w:hAnsiTheme="minorHAnsi"/>
              </w:rPr>
              <w:t>Exposure Questionnaire (administered in Person)</w:t>
            </w:r>
          </w:p>
        </w:tc>
        <w:tc>
          <w:tcPr>
            <w:tcW w:w="1620" w:type="dxa"/>
          </w:tcPr>
          <w:p w14:paraId="64987F8A" w14:textId="77777777" w:rsidR="00613AFE" w:rsidRPr="00F314C1" w:rsidRDefault="00613AFE" w:rsidP="00613AFE">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F314C1">
              <w:rPr>
                <w:rFonts w:asciiTheme="minorHAnsi" w:hAnsiTheme="minorHAnsi"/>
              </w:rPr>
              <w:t>Nome, AK</w:t>
            </w:r>
          </w:p>
        </w:tc>
        <w:tc>
          <w:tcPr>
            <w:tcW w:w="2114" w:type="dxa"/>
          </w:tcPr>
          <w:p w14:paraId="64987F8B" w14:textId="77777777" w:rsidR="00613AFE" w:rsidRPr="00F314C1" w:rsidRDefault="00613AFE" w:rsidP="00613AFE">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224" w:type="dxa"/>
          </w:tcPr>
          <w:p w14:paraId="64987F8C" w14:textId="77777777" w:rsidR="00613AFE" w:rsidRPr="00F314C1" w:rsidRDefault="00613AFE" w:rsidP="00613AFE">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F314C1">
              <w:rPr>
                <w:rFonts w:asciiTheme="minorHAnsi" w:hAnsiTheme="minorHAnsi"/>
              </w:rPr>
              <w:t>Results of questionnaire not presented in report.</w:t>
            </w:r>
          </w:p>
        </w:tc>
      </w:tr>
      <w:tr w:rsidR="0050225D" w:rsidRPr="00B6608B" w14:paraId="64987F95" w14:textId="77777777" w:rsidTr="00C379D4">
        <w:tc>
          <w:tcPr>
            <w:cnfStyle w:val="001000000000" w:firstRow="0" w:lastRow="0" w:firstColumn="1" w:lastColumn="0" w:oddVBand="0" w:evenVBand="0" w:oddHBand="0" w:evenHBand="0" w:firstRowFirstColumn="0" w:firstRowLastColumn="0" w:lastRowFirstColumn="0" w:lastRowLastColumn="0"/>
            <w:tcW w:w="2628" w:type="dxa"/>
          </w:tcPr>
          <w:p w14:paraId="64987F8F" w14:textId="77777777" w:rsidR="00613AFE" w:rsidRPr="00F314C1" w:rsidRDefault="00613AFE" w:rsidP="00613AFE">
            <w:pPr>
              <w:spacing w:before="0" w:line="240" w:lineRule="auto"/>
              <w:rPr>
                <w:rFonts w:asciiTheme="minorHAnsi" w:hAnsiTheme="minorHAnsi"/>
                <w:b w:val="0"/>
              </w:rPr>
            </w:pPr>
            <w:r w:rsidRPr="00F314C1">
              <w:rPr>
                <w:rFonts w:asciiTheme="minorHAnsi" w:hAnsiTheme="minorHAnsi"/>
              </w:rPr>
              <w:t>Dietary Intake of Alaska People in Two Regions and Implications of Health</w:t>
            </w:r>
          </w:p>
        </w:tc>
        <w:tc>
          <w:tcPr>
            <w:tcW w:w="2070" w:type="dxa"/>
          </w:tcPr>
          <w:p w14:paraId="1426719B" w14:textId="1600F40D" w:rsidR="00613AFE" w:rsidRPr="00F314C1" w:rsidRDefault="00613AFE" w:rsidP="00613AFE">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F314C1">
              <w:rPr>
                <w:rFonts w:asciiTheme="minorHAnsi" w:hAnsiTheme="minorHAnsi"/>
              </w:rPr>
              <w:t>Johnson et al.</w:t>
            </w:r>
          </w:p>
        </w:tc>
        <w:tc>
          <w:tcPr>
            <w:tcW w:w="810" w:type="dxa"/>
          </w:tcPr>
          <w:p w14:paraId="64987F90" w14:textId="6CDDCDA0" w:rsidR="00613AFE" w:rsidRPr="00F314C1" w:rsidRDefault="00613AFE" w:rsidP="00613AFE">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F314C1">
              <w:rPr>
                <w:rFonts w:asciiTheme="minorHAnsi" w:hAnsiTheme="minorHAnsi"/>
              </w:rPr>
              <w:t>2002-2004</w:t>
            </w:r>
          </w:p>
        </w:tc>
        <w:tc>
          <w:tcPr>
            <w:tcW w:w="1710" w:type="dxa"/>
          </w:tcPr>
          <w:p w14:paraId="64987F91" w14:textId="77777777" w:rsidR="00613AFE" w:rsidRPr="00F314C1" w:rsidRDefault="00613AFE" w:rsidP="00613AFE">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F314C1">
              <w:rPr>
                <w:rFonts w:asciiTheme="minorHAnsi" w:hAnsiTheme="minorHAnsi"/>
              </w:rPr>
              <w:t>Four 24-hour dietary recalls (in person interview)</w:t>
            </w:r>
          </w:p>
        </w:tc>
        <w:tc>
          <w:tcPr>
            <w:tcW w:w="1620" w:type="dxa"/>
          </w:tcPr>
          <w:p w14:paraId="64987F92" w14:textId="77777777" w:rsidR="00613AFE" w:rsidRPr="00F314C1" w:rsidRDefault="00613AFE" w:rsidP="00613AFE">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F314C1">
              <w:rPr>
                <w:rFonts w:asciiTheme="minorHAnsi" w:hAnsiTheme="minorHAnsi"/>
              </w:rPr>
              <w:t xml:space="preserve">Yukon-Kuskokwim Region and </w:t>
            </w:r>
            <w:proofErr w:type="spellStart"/>
            <w:r w:rsidRPr="00F314C1">
              <w:rPr>
                <w:rFonts w:asciiTheme="minorHAnsi" w:hAnsiTheme="minorHAnsi"/>
              </w:rPr>
              <w:t>Maniilaq</w:t>
            </w:r>
            <w:proofErr w:type="spellEnd"/>
            <w:r w:rsidRPr="00F314C1">
              <w:rPr>
                <w:rFonts w:asciiTheme="minorHAnsi" w:hAnsiTheme="minorHAnsi"/>
              </w:rPr>
              <w:t xml:space="preserve"> Region</w:t>
            </w:r>
          </w:p>
        </w:tc>
        <w:tc>
          <w:tcPr>
            <w:tcW w:w="2114" w:type="dxa"/>
          </w:tcPr>
          <w:p w14:paraId="64987F93" w14:textId="77777777" w:rsidR="00613AFE" w:rsidRPr="00F314C1" w:rsidRDefault="00613AFE" w:rsidP="00613AFE">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224" w:type="dxa"/>
          </w:tcPr>
          <w:p w14:paraId="64987F94" w14:textId="77777777" w:rsidR="00613AFE" w:rsidRPr="00F314C1" w:rsidRDefault="00613AFE" w:rsidP="00613AFE">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F314C1">
              <w:rPr>
                <w:rFonts w:asciiTheme="minorHAnsi" w:hAnsiTheme="minorHAnsi"/>
              </w:rPr>
              <w:t>Data presented describes food type as a percentage of total calories consumed.</w:t>
            </w:r>
          </w:p>
        </w:tc>
      </w:tr>
      <w:tr w:rsidR="0050225D" w:rsidRPr="00B6608B" w14:paraId="64987F9D" w14:textId="77777777" w:rsidTr="00C37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64987F97" w14:textId="77777777" w:rsidR="00613AFE" w:rsidRPr="00F314C1" w:rsidRDefault="00613AFE" w:rsidP="00613AFE">
            <w:pPr>
              <w:keepNext/>
              <w:spacing w:before="0" w:line="240" w:lineRule="auto"/>
              <w:rPr>
                <w:rFonts w:asciiTheme="minorHAnsi" w:hAnsiTheme="minorHAnsi"/>
                <w:b w:val="0"/>
              </w:rPr>
            </w:pPr>
            <w:r w:rsidRPr="00F314C1">
              <w:rPr>
                <w:rFonts w:asciiTheme="minorHAnsi" w:hAnsiTheme="minorHAnsi"/>
              </w:rPr>
              <w:lastRenderedPageBreak/>
              <w:t>Seafood as Local Food: Food Security and Locally Caught Seafood in Alaska’s Kenai Peninsula</w:t>
            </w:r>
          </w:p>
        </w:tc>
        <w:tc>
          <w:tcPr>
            <w:tcW w:w="2070" w:type="dxa"/>
          </w:tcPr>
          <w:p w14:paraId="682BE8C9" w14:textId="3D9F5DD5" w:rsidR="00613AFE" w:rsidRPr="00F314C1" w:rsidRDefault="00613AFE" w:rsidP="00613AFE">
            <w:pPr>
              <w:keepNext/>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F314C1">
              <w:rPr>
                <w:rFonts w:asciiTheme="minorHAnsi" w:hAnsiTheme="minorHAnsi"/>
              </w:rPr>
              <w:br w:type="page"/>
              <w:t>Loring, Gerlach &amp; Harrison</w:t>
            </w:r>
          </w:p>
        </w:tc>
        <w:tc>
          <w:tcPr>
            <w:tcW w:w="810" w:type="dxa"/>
          </w:tcPr>
          <w:p w14:paraId="64987F98" w14:textId="7767E793" w:rsidR="00613AFE" w:rsidRPr="00F314C1" w:rsidRDefault="00613AFE" w:rsidP="00613AFE">
            <w:pPr>
              <w:keepNext/>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F314C1">
              <w:rPr>
                <w:rFonts w:asciiTheme="minorHAnsi" w:hAnsiTheme="minorHAnsi"/>
              </w:rPr>
              <w:t>2011-2012</w:t>
            </w:r>
          </w:p>
        </w:tc>
        <w:tc>
          <w:tcPr>
            <w:tcW w:w="1710" w:type="dxa"/>
          </w:tcPr>
          <w:p w14:paraId="64987F99" w14:textId="77777777" w:rsidR="00613AFE" w:rsidRPr="00F314C1" w:rsidRDefault="00613AFE" w:rsidP="00613AFE">
            <w:pPr>
              <w:keepNext/>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F314C1">
              <w:rPr>
                <w:rFonts w:asciiTheme="minorHAnsi" w:hAnsiTheme="minorHAnsi"/>
              </w:rPr>
              <w:t xml:space="preserve">Mail Survey </w:t>
            </w:r>
          </w:p>
        </w:tc>
        <w:tc>
          <w:tcPr>
            <w:tcW w:w="1620" w:type="dxa"/>
          </w:tcPr>
          <w:p w14:paraId="64987F9A" w14:textId="77777777" w:rsidR="00613AFE" w:rsidRPr="00F314C1" w:rsidRDefault="00613AFE" w:rsidP="00613AFE">
            <w:pPr>
              <w:keepNext/>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F314C1">
              <w:rPr>
                <w:rFonts w:asciiTheme="minorHAnsi" w:hAnsiTheme="minorHAnsi"/>
              </w:rPr>
              <w:t>Kenai Peninsula</w:t>
            </w:r>
          </w:p>
        </w:tc>
        <w:tc>
          <w:tcPr>
            <w:tcW w:w="2114" w:type="dxa"/>
          </w:tcPr>
          <w:p w14:paraId="64987F9B" w14:textId="77777777" w:rsidR="00613AFE" w:rsidRPr="00F314C1" w:rsidRDefault="00613AFE" w:rsidP="00613AFE">
            <w:pPr>
              <w:keepNext/>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224" w:type="dxa"/>
          </w:tcPr>
          <w:p w14:paraId="64987F9C" w14:textId="77777777" w:rsidR="00613AFE" w:rsidRPr="00F314C1" w:rsidRDefault="00613AFE" w:rsidP="00613AFE">
            <w:pPr>
              <w:keepNext/>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F314C1">
              <w:rPr>
                <w:rFonts w:asciiTheme="minorHAnsi" w:hAnsiTheme="minorHAnsi"/>
              </w:rPr>
              <w:t>Survey describes the percent of the population that harvests and consumes fish</w:t>
            </w:r>
          </w:p>
        </w:tc>
      </w:tr>
      <w:tr w:rsidR="0050225D" w:rsidRPr="00B6608B" w14:paraId="64987FA5" w14:textId="77777777" w:rsidTr="00C379D4">
        <w:tc>
          <w:tcPr>
            <w:cnfStyle w:val="001000000000" w:firstRow="0" w:lastRow="0" w:firstColumn="1" w:lastColumn="0" w:oddVBand="0" w:evenVBand="0" w:oddHBand="0" w:evenHBand="0" w:firstRowFirstColumn="0" w:firstRowLastColumn="0" w:lastRowFirstColumn="0" w:lastRowLastColumn="0"/>
            <w:tcW w:w="2628" w:type="dxa"/>
          </w:tcPr>
          <w:p w14:paraId="64987F9F" w14:textId="77777777" w:rsidR="00613AFE" w:rsidRPr="00F314C1" w:rsidRDefault="00613AFE" w:rsidP="00613AFE">
            <w:pPr>
              <w:keepNext/>
              <w:spacing w:before="0" w:line="240" w:lineRule="auto"/>
              <w:rPr>
                <w:rFonts w:asciiTheme="minorHAnsi" w:hAnsiTheme="minorHAnsi"/>
                <w:b w:val="0"/>
              </w:rPr>
            </w:pPr>
            <w:r w:rsidRPr="00F314C1">
              <w:rPr>
                <w:rFonts w:asciiTheme="minorHAnsi" w:hAnsiTheme="minorHAnsi"/>
              </w:rPr>
              <w:t>The Diet of Alaska Native adults: 1987-1988</w:t>
            </w:r>
          </w:p>
        </w:tc>
        <w:tc>
          <w:tcPr>
            <w:tcW w:w="2070" w:type="dxa"/>
          </w:tcPr>
          <w:p w14:paraId="1F6946A5" w14:textId="25DF7651" w:rsidR="00613AFE" w:rsidRPr="00F314C1" w:rsidRDefault="00613AFE" w:rsidP="00613AFE">
            <w:pPr>
              <w:keepNext/>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F314C1">
              <w:rPr>
                <w:rFonts w:asciiTheme="minorHAnsi" w:hAnsiTheme="minorHAnsi"/>
              </w:rPr>
              <w:t>Nobmann et al.</w:t>
            </w:r>
          </w:p>
        </w:tc>
        <w:tc>
          <w:tcPr>
            <w:tcW w:w="810" w:type="dxa"/>
          </w:tcPr>
          <w:p w14:paraId="64987FA0" w14:textId="3E460637" w:rsidR="00613AFE" w:rsidRPr="00F314C1" w:rsidRDefault="00613AFE" w:rsidP="00613AFE">
            <w:pPr>
              <w:keepNext/>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F314C1">
              <w:rPr>
                <w:rFonts w:asciiTheme="minorHAnsi" w:hAnsiTheme="minorHAnsi"/>
              </w:rPr>
              <w:t>1992</w:t>
            </w:r>
          </w:p>
        </w:tc>
        <w:tc>
          <w:tcPr>
            <w:tcW w:w="1710" w:type="dxa"/>
          </w:tcPr>
          <w:p w14:paraId="64987FA1" w14:textId="77777777" w:rsidR="00613AFE" w:rsidRPr="00F314C1" w:rsidRDefault="00613AFE" w:rsidP="00613AFE">
            <w:pPr>
              <w:keepNext/>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F314C1">
              <w:rPr>
                <w:rFonts w:asciiTheme="minorHAnsi" w:hAnsiTheme="minorHAnsi"/>
              </w:rPr>
              <w:t>Five 24-hour Dietary Recall Surveys (in person interview)</w:t>
            </w:r>
          </w:p>
        </w:tc>
        <w:tc>
          <w:tcPr>
            <w:tcW w:w="1620" w:type="dxa"/>
          </w:tcPr>
          <w:p w14:paraId="64987FA2" w14:textId="77777777" w:rsidR="00613AFE" w:rsidRPr="00F314C1" w:rsidRDefault="00613AFE" w:rsidP="00613AFE">
            <w:pPr>
              <w:keepNext/>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F314C1">
              <w:rPr>
                <w:rFonts w:asciiTheme="minorHAnsi" w:hAnsiTheme="minorHAnsi"/>
              </w:rPr>
              <w:t xml:space="preserve">11 Alaska Native communities throughout AK </w:t>
            </w:r>
          </w:p>
        </w:tc>
        <w:tc>
          <w:tcPr>
            <w:tcW w:w="2114" w:type="dxa"/>
          </w:tcPr>
          <w:p w14:paraId="64987FA3" w14:textId="77777777" w:rsidR="00613AFE" w:rsidRPr="00F314C1" w:rsidRDefault="00613AFE" w:rsidP="00613AFE">
            <w:pPr>
              <w:keepNext/>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F314C1">
              <w:rPr>
                <w:rFonts w:asciiTheme="minorHAnsi" w:hAnsiTheme="minorHAnsi"/>
              </w:rPr>
              <w:t>109 g/day (fish and shellfish)</w:t>
            </w:r>
          </w:p>
        </w:tc>
        <w:tc>
          <w:tcPr>
            <w:tcW w:w="2224" w:type="dxa"/>
          </w:tcPr>
          <w:p w14:paraId="64987FA4" w14:textId="77777777" w:rsidR="00613AFE" w:rsidRPr="00F314C1" w:rsidRDefault="00613AFE" w:rsidP="00613AFE">
            <w:pPr>
              <w:keepNext/>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50225D" w:rsidRPr="00B6608B" w14:paraId="64987FAD" w14:textId="77777777" w:rsidTr="00C37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64987FA7" w14:textId="77777777" w:rsidR="00613AFE" w:rsidRPr="00F314C1" w:rsidRDefault="00613AFE" w:rsidP="00613AFE">
            <w:pPr>
              <w:keepNext/>
              <w:spacing w:before="0" w:line="240" w:lineRule="auto"/>
              <w:rPr>
                <w:rFonts w:asciiTheme="minorHAnsi" w:hAnsiTheme="minorHAnsi"/>
                <w:b w:val="0"/>
              </w:rPr>
            </w:pPr>
            <w:r w:rsidRPr="00F314C1">
              <w:rPr>
                <w:rFonts w:asciiTheme="minorHAnsi" w:hAnsiTheme="minorHAnsi"/>
              </w:rPr>
              <w:t xml:space="preserve">Assessment of Cook Inlet Tribe Subsistence Consumption </w:t>
            </w:r>
          </w:p>
        </w:tc>
        <w:tc>
          <w:tcPr>
            <w:tcW w:w="2070" w:type="dxa"/>
          </w:tcPr>
          <w:p w14:paraId="3C870E34" w14:textId="08CAD546" w:rsidR="00613AFE" w:rsidRPr="00F314C1" w:rsidRDefault="00613AFE" w:rsidP="00613AFE">
            <w:pPr>
              <w:keepNext/>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proofErr w:type="spellStart"/>
            <w:r w:rsidRPr="00F314C1">
              <w:rPr>
                <w:rFonts w:asciiTheme="minorHAnsi" w:hAnsiTheme="minorHAnsi"/>
              </w:rPr>
              <w:t>Seldovia</w:t>
            </w:r>
            <w:proofErr w:type="spellEnd"/>
            <w:r w:rsidRPr="00F314C1">
              <w:rPr>
                <w:rFonts w:asciiTheme="minorHAnsi" w:hAnsiTheme="minorHAnsi"/>
              </w:rPr>
              <w:t xml:space="preserve"> Village Tribe Environmental Department</w:t>
            </w:r>
          </w:p>
        </w:tc>
        <w:tc>
          <w:tcPr>
            <w:tcW w:w="810" w:type="dxa"/>
          </w:tcPr>
          <w:p w14:paraId="64987FA8" w14:textId="3A251AEF" w:rsidR="00613AFE" w:rsidRPr="00F314C1" w:rsidRDefault="00613AFE" w:rsidP="00613AFE">
            <w:pPr>
              <w:keepNext/>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F314C1">
              <w:rPr>
                <w:rFonts w:asciiTheme="minorHAnsi" w:hAnsiTheme="minorHAnsi"/>
              </w:rPr>
              <w:t>2012</w:t>
            </w:r>
          </w:p>
        </w:tc>
        <w:tc>
          <w:tcPr>
            <w:tcW w:w="1710" w:type="dxa"/>
          </w:tcPr>
          <w:p w14:paraId="64987FA9" w14:textId="77777777" w:rsidR="00613AFE" w:rsidRPr="00F314C1" w:rsidRDefault="00613AFE" w:rsidP="00613AFE">
            <w:pPr>
              <w:keepNext/>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F314C1">
              <w:rPr>
                <w:rFonts w:asciiTheme="minorHAnsi" w:hAnsiTheme="minorHAnsi"/>
              </w:rPr>
              <w:t>Dietary Recall Survey (in person interview)</w:t>
            </w:r>
          </w:p>
        </w:tc>
        <w:tc>
          <w:tcPr>
            <w:tcW w:w="1620" w:type="dxa"/>
          </w:tcPr>
          <w:p w14:paraId="64987FAA" w14:textId="059884B0" w:rsidR="00613AFE" w:rsidRPr="00F314C1" w:rsidRDefault="00613AFE" w:rsidP="00613AFE">
            <w:pPr>
              <w:keepNext/>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proofErr w:type="spellStart"/>
            <w:r w:rsidRPr="00F314C1">
              <w:rPr>
                <w:rFonts w:asciiTheme="minorHAnsi" w:hAnsiTheme="minorHAnsi"/>
              </w:rPr>
              <w:t>Seldovia</w:t>
            </w:r>
            <w:proofErr w:type="spellEnd"/>
            <w:r w:rsidRPr="00F314C1">
              <w:rPr>
                <w:rFonts w:asciiTheme="minorHAnsi" w:hAnsiTheme="minorHAnsi"/>
              </w:rPr>
              <w:t xml:space="preserve">, Port Graham </w:t>
            </w:r>
            <w:proofErr w:type="spellStart"/>
            <w:r w:rsidRPr="00F314C1">
              <w:rPr>
                <w:rFonts w:asciiTheme="minorHAnsi" w:hAnsiTheme="minorHAnsi"/>
              </w:rPr>
              <w:t>Nanwalek</w:t>
            </w:r>
            <w:proofErr w:type="spellEnd"/>
            <w:r w:rsidRPr="00F314C1">
              <w:rPr>
                <w:rFonts w:asciiTheme="minorHAnsi" w:hAnsiTheme="minorHAnsi"/>
              </w:rPr>
              <w:t xml:space="preserve"> and </w:t>
            </w:r>
            <w:proofErr w:type="spellStart"/>
            <w:r w:rsidRPr="00F314C1">
              <w:rPr>
                <w:rFonts w:asciiTheme="minorHAnsi" w:hAnsiTheme="minorHAnsi"/>
              </w:rPr>
              <w:t>Tyonek</w:t>
            </w:r>
            <w:proofErr w:type="spellEnd"/>
          </w:p>
        </w:tc>
        <w:tc>
          <w:tcPr>
            <w:tcW w:w="2114" w:type="dxa"/>
          </w:tcPr>
          <w:p w14:paraId="64987FAB" w14:textId="77777777" w:rsidR="00613AFE" w:rsidRPr="00F314C1" w:rsidRDefault="00613AFE" w:rsidP="00613AFE">
            <w:pPr>
              <w:keepNext/>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F314C1">
              <w:rPr>
                <w:rFonts w:asciiTheme="minorHAnsi" w:hAnsiTheme="minorHAnsi"/>
              </w:rPr>
              <w:t xml:space="preserve">94.8 (+/- 23.5) g/day </w:t>
            </w:r>
          </w:p>
        </w:tc>
        <w:tc>
          <w:tcPr>
            <w:tcW w:w="2224" w:type="dxa"/>
          </w:tcPr>
          <w:p w14:paraId="64987FAC" w14:textId="77777777" w:rsidR="00613AFE" w:rsidRPr="00F314C1" w:rsidRDefault="00613AFE" w:rsidP="00613AFE">
            <w:pPr>
              <w:keepNext/>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0225D" w:rsidRPr="00B6608B" w14:paraId="64987FB7" w14:textId="77777777" w:rsidTr="00C379D4">
        <w:tc>
          <w:tcPr>
            <w:cnfStyle w:val="001000000000" w:firstRow="0" w:lastRow="0" w:firstColumn="1" w:lastColumn="0" w:oddVBand="0" w:evenVBand="0" w:oddHBand="0" w:evenHBand="0" w:firstRowFirstColumn="0" w:firstRowLastColumn="0" w:lastRowFirstColumn="0" w:lastRowLastColumn="0"/>
            <w:tcW w:w="2628" w:type="dxa"/>
          </w:tcPr>
          <w:p w14:paraId="64987FAF" w14:textId="77777777" w:rsidR="00613AFE" w:rsidRPr="00F314C1" w:rsidRDefault="00613AFE" w:rsidP="00613AFE">
            <w:pPr>
              <w:spacing w:before="0" w:line="240" w:lineRule="auto"/>
              <w:rPr>
                <w:rFonts w:asciiTheme="minorHAnsi" w:hAnsiTheme="minorHAnsi"/>
                <w:b w:val="0"/>
              </w:rPr>
            </w:pPr>
            <w:r w:rsidRPr="00F314C1">
              <w:rPr>
                <w:rFonts w:asciiTheme="minorHAnsi" w:hAnsiTheme="minorHAnsi"/>
              </w:rPr>
              <w:t>Amchitka Island, Alaska, Biological Monitoring Report 2011 Sampling Results</w:t>
            </w:r>
          </w:p>
        </w:tc>
        <w:tc>
          <w:tcPr>
            <w:tcW w:w="2070" w:type="dxa"/>
          </w:tcPr>
          <w:p w14:paraId="4228BD45" w14:textId="68649BB8" w:rsidR="00613AFE" w:rsidRPr="00F314C1" w:rsidRDefault="00613AFE" w:rsidP="00613AFE">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F314C1">
              <w:rPr>
                <w:rFonts w:asciiTheme="minorHAnsi" w:hAnsiTheme="minorHAnsi"/>
              </w:rPr>
              <w:t xml:space="preserve">U.S. Department of Energy </w:t>
            </w:r>
          </w:p>
        </w:tc>
        <w:tc>
          <w:tcPr>
            <w:tcW w:w="810" w:type="dxa"/>
          </w:tcPr>
          <w:p w14:paraId="64987FB0" w14:textId="2ECB23CA" w:rsidR="00613AFE" w:rsidRPr="00F314C1" w:rsidRDefault="00613AFE" w:rsidP="00613AFE">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F314C1">
              <w:rPr>
                <w:rFonts w:asciiTheme="minorHAnsi" w:hAnsiTheme="minorHAnsi"/>
              </w:rPr>
              <w:t>1998-1999</w:t>
            </w:r>
          </w:p>
        </w:tc>
        <w:tc>
          <w:tcPr>
            <w:tcW w:w="1710" w:type="dxa"/>
          </w:tcPr>
          <w:p w14:paraId="64987FB1" w14:textId="77777777" w:rsidR="00613AFE" w:rsidRPr="00F314C1" w:rsidRDefault="00613AFE" w:rsidP="00613AFE">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F314C1">
              <w:rPr>
                <w:rFonts w:asciiTheme="minorHAnsi" w:hAnsiTheme="minorHAnsi"/>
              </w:rPr>
              <w:t xml:space="preserve">Secondary data </w:t>
            </w:r>
          </w:p>
        </w:tc>
        <w:tc>
          <w:tcPr>
            <w:tcW w:w="1620" w:type="dxa"/>
          </w:tcPr>
          <w:p w14:paraId="64987FB2" w14:textId="3CEA3AFC" w:rsidR="00613AFE" w:rsidRPr="00F314C1" w:rsidRDefault="00613AFE" w:rsidP="00457732">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F314C1">
              <w:rPr>
                <w:rFonts w:asciiTheme="minorHAnsi" w:hAnsiTheme="minorHAnsi"/>
              </w:rPr>
              <w:t xml:space="preserve">Atka, </w:t>
            </w:r>
            <w:proofErr w:type="spellStart"/>
            <w:r w:rsidRPr="00F314C1">
              <w:rPr>
                <w:rFonts w:asciiTheme="minorHAnsi" w:hAnsiTheme="minorHAnsi"/>
              </w:rPr>
              <w:t>Nikolski</w:t>
            </w:r>
            <w:r w:rsidR="00457732" w:rsidRPr="00F314C1">
              <w:rPr>
                <w:rFonts w:asciiTheme="minorHAnsi" w:hAnsiTheme="minorHAnsi"/>
              </w:rPr>
              <w:t>,</w:t>
            </w:r>
            <w:r w:rsidRPr="00F314C1">
              <w:rPr>
                <w:rFonts w:asciiTheme="minorHAnsi" w:hAnsiTheme="minorHAnsi"/>
              </w:rPr>
              <w:t>Unalaska</w:t>
            </w:r>
            <w:proofErr w:type="spellEnd"/>
            <w:r w:rsidR="00457732" w:rsidRPr="00F314C1">
              <w:rPr>
                <w:rFonts w:asciiTheme="minorHAnsi" w:hAnsiTheme="minorHAnsi"/>
              </w:rPr>
              <w:t>, and St. Paul,</w:t>
            </w:r>
          </w:p>
        </w:tc>
        <w:tc>
          <w:tcPr>
            <w:tcW w:w="2114" w:type="dxa"/>
          </w:tcPr>
          <w:p w14:paraId="64987FB3" w14:textId="1C1E607F" w:rsidR="00613AFE" w:rsidRPr="00F314C1" w:rsidRDefault="00613AFE" w:rsidP="00613AFE">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F314C1">
              <w:rPr>
                <w:rFonts w:asciiTheme="minorHAnsi" w:hAnsiTheme="minorHAnsi"/>
              </w:rPr>
              <w:t>Composite Diet 100 g/day</w:t>
            </w:r>
          </w:p>
          <w:p w14:paraId="64987FB4" w14:textId="5406B501" w:rsidR="00613AFE" w:rsidRPr="00F314C1" w:rsidRDefault="00613AFE" w:rsidP="00613AFE">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F314C1">
              <w:rPr>
                <w:rFonts w:asciiTheme="minorHAnsi" w:hAnsiTheme="minorHAnsi"/>
              </w:rPr>
              <w:t>St. Paul (min) 10/g day</w:t>
            </w:r>
          </w:p>
          <w:p w14:paraId="64987FB5" w14:textId="63EB6F5D" w:rsidR="00613AFE" w:rsidRPr="00F314C1" w:rsidRDefault="00613AFE" w:rsidP="00DB15DF">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proofErr w:type="spellStart"/>
            <w:r w:rsidRPr="00F314C1">
              <w:rPr>
                <w:rFonts w:asciiTheme="minorHAnsi" w:hAnsiTheme="minorHAnsi"/>
              </w:rPr>
              <w:t>Nikolski</w:t>
            </w:r>
            <w:proofErr w:type="spellEnd"/>
            <w:r w:rsidRPr="00F314C1">
              <w:rPr>
                <w:rFonts w:asciiTheme="minorHAnsi" w:hAnsiTheme="minorHAnsi"/>
              </w:rPr>
              <w:t xml:space="preserve"> (max) 520 g/day</w:t>
            </w:r>
          </w:p>
        </w:tc>
        <w:tc>
          <w:tcPr>
            <w:tcW w:w="2224" w:type="dxa"/>
          </w:tcPr>
          <w:p w14:paraId="64987FB6" w14:textId="22C050EC" w:rsidR="00613AFE" w:rsidRPr="00F314C1" w:rsidRDefault="00613AFE" w:rsidP="00613AFE">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bl>
    <w:p w14:paraId="31EEA4EF" w14:textId="0E3C750D" w:rsidR="00613AFE" w:rsidRPr="00576DAB" w:rsidRDefault="00613AFE" w:rsidP="0050225D">
      <w:pPr>
        <w:pStyle w:val="Heading2"/>
        <w:tabs>
          <w:tab w:val="left" w:pos="3375"/>
        </w:tabs>
        <w:spacing w:before="120" w:line="240" w:lineRule="auto"/>
        <w:rPr>
          <w:szCs w:val="24"/>
        </w:rPr>
        <w:sectPr w:rsidR="00613AFE" w:rsidRPr="00576DAB" w:rsidSect="00F314C1">
          <w:headerReference w:type="default" r:id="rId16"/>
          <w:footerReference w:type="default" r:id="rId17"/>
          <w:footnotePr>
            <w:numFmt w:val="chicago"/>
          </w:footnotePr>
          <w:pgSz w:w="12240" w:h="15840"/>
          <w:pgMar w:top="1440" w:right="1008" w:bottom="1440" w:left="1008" w:header="432" w:footer="720" w:gutter="0"/>
          <w:cols w:space="720"/>
          <w:docGrid w:linePitch="360"/>
        </w:sectPr>
      </w:pPr>
      <w:bookmarkStart w:id="32" w:name="_Toc390121647"/>
    </w:p>
    <w:p w14:paraId="64987FBA" w14:textId="7D690657" w:rsidR="00774065" w:rsidRPr="00F314C1" w:rsidRDefault="00CA733F" w:rsidP="00C379D4">
      <w:pPr>
        <w:pStyle w:val="Heading2"/>
        <w:spacing w:before="0" w:after="60" w:line="240" w:lineRule="auto"/>
        <w:jc w:val="both"/>
        <w:rPr>
          <w:szCs w:val="24"/>
        </w:rPr>
      </w:pPr>
      <w:r w:rsidRPr="00F314C1">
        <w:rPr>
          <w:szCs w:val="24"/>
        </w:rPr>
        <w:lastRenderedPageBreak/>
        <w:t>The Final Report on the Alaska Traditional Diet Survey</w:t>
      </w:r>
      <w:bookmarkEnd w:id="32"/>
    </w:p>
    <w:p w14:paraId="64987FBC" w14:textId="22254A46" w:rsidR="009A66BE" w:rsidRPr="00F314C1" w:rsidRDefault="00F37FED" w:rsidP="00C379D4">
      <w:pPr>
        <w:pStyle w:val="Heading3"/>
        <w:spacing w:before="0" w:after="60" w:line="240" w:lineRule="auto"/>
        <w:jc w:val="both"/>
        <w:rPr>
          <w:sz w:val="24"/>
          <w:szCs w:val="24"/>
        </w:rPr>
      </w:pPr>
      <w:r>
        <w:rPr>
          <w:sz w:val="24"/>
          <w:szCs w:val="24"/>
        </w:rPr>
        <w:t>The Alaska Native Epidemiology Center of the Alaska Native Health Board</w:t>
      </w:r>
      <w:r w:rsidR="00EE7483" w:rsidRPr="00F314C1">
        <w:rPr>
          <w:sz w:val="24"/>
          <w:szCs w:val="24"/>
        </w:rPr>
        <w:t xml:space="preserve">, </w:t>
      </w:r>
      <w:bookmarkStart w:id="33" w:name="_Toc390121649"/>
      <w:r w:rsidR="00CA733F" w:rsidRPr="00F314C1">
        <w:rPr>
          <w:sz w:val="24"/>
          <w:szCs w:val="24"/>
        </w:rPr>
        <w:t>March 2004</w:t>
      </w:r>
      <w:bookmarkEnd w:id="33"/>
    </w:p>
    <w:p w14:paraId="64987FBD" w14:textId="77777777" w:rsidR="00326219" w:rsidRPr="00F314C1" w:rsidRDefault="00046A23" w:rsidP="00C379D4">
      <w:pPr>
        <w:pStyle w:val="Heading4"/>
        <w:jc w:val="both"/>
        <w:rPr>
          <w:sz w:val="24"/>
          <w:szCs w:val="24"/>
        </w:rPr>
      </w:pPr>
      <w:r w:rsidRPr="00F314C1">
        <w:rPr>
          <w:sz w:val="24"/>
          <w:szCs w:val="24"/>
        </w:rPr>
        <w:t xml:space="preserve">General Information </w:t>
      </w:r>
    </w:p>
    <w:p w14:paraId="64987FBE" w14:textId="719FA68B" w:rsidR="005C508E" w:rsidRPr="00F314C1" w:rsidRDefault="005A2094" w:rsidP="00C379D4">
      <w:pPr>
        <w:jc w:val="both"/>
        <w:rPr>
          <w:rFonts w:asciiTheme="minorHAnsi" w:hAnsiTheme="minorHAnsi"/>
          <w:sz w:val="24"/>
          <w:szCs w:val="24"/>
        </w:rPr>
      </w:pPr>
      <w:r w:rsidRPr="00F314C1">
        <w:rPr>
          <w:rFonts w:asciiTheme="minorHAnsi" w:hAnsiTheme="minorHAnsi"/>
          <w:sz w:val="24"/>
          <w:szCs w:val="24"/>
        </w:rPr>
        <w:t xml:space="preserve">The Alaska Traditional Diet Survey Final Report </w:t>
      </w:r>
      <w:r w:rsidR="00920690" w:rsidRPr="00F314C1">
        <w:rPr>
          <w:rFonts w:asciiTheme="minorHAnsi" w:hAnsiTheme="minorHAnsi"/>
          <w:sz w:val="24"/>
          <w:szCs w:val="24"/>
        </w:rPr>
        <w:t>i</w:t>
      </w:r>
      <w:r w:rsidRPr="00F314C1">
        <w:rPr>
          <w:rFonts w:asciiTheme="minorHAnsi" w:hAnsiTheme="minorHAnsi"/>
          <w:sz w:val="24"/>
          <w:szCs w:val="24"/>
        </w:rPr>
        <w:t>s the result of a collaborative effort between r</w:t>
      </w:r>
      <w:r w:rsidR="005C508E" w:rsidRPr="00F314C1">
        <w:rPr>
          <w:rFonts w:asciiTheme="minorHAnsi" w:hAnsiTheme="minorHAnsi"/>
          <w:sz w:val="24"/>
          <w:szCs w:val="24"/>
        </w:rPr>
        <w:t xml:space="preserve">esearchers from the Alaska Native Health Board, the Institute for </w:t>
      </w:r>
      <w:r w:rsidR="008B7353">
        <w:rPr>
          <w:rFonts w:asciiTheme="minorHAnsi" w:hAnsiTheme="minorHAnsi"/>
          <w:sz w:val="24"/>
          <w:szCs w:val="24"/>
        </w:rPr>
        <w:t>Circump</w:t>
      </w:r>
      <w:r w:rsidR="005C508E" w:rsidRPr="00F314C1">
        <w:rPr>
          <w:rFonts w:asciiTheme="minorHAnsi" w:hAnsiTheme="minorHAnsi"/>
          <w:sz w:val="24"/>
          <w:szCs w:val="24"/>
        </w:rPr>
        <w:t xml:space="preserve">olar </w:t>
      </w:r>
      <w:r w:rsidR="00F37FED">
        <w:rPr>
          <w:rFonts w:asciiTheme="minorHAnsi" w:hAnsiTheme="minorHAnsi"/>
          <w:sz w:val="24"/>
          <w:szCs w:val="24"/>
        </w:rPr>
        <w:t xml:space="preserve">Health </w:t>
      </w:r>
      <w:r w:rsidR="005C508E" w:rsidRPr="00F314C1">
        <w:rPr>
          <w:rFonts w:asciiTheme="minorHAnsi" w:hAnsiTheme="minorHAnsi"/>
          <w:sz w:val="24"/>
          <w:szCs w:val="24"/>
        </w:rPr>
        <w:t>Studies at the University of Alaska – Anchorage</w:t>
      </w:r>
      <w:r w:rsidR="00920690" w:rsidRPr="00F314C1">
        <w:rPr>
          <w:rFonts w:asciiTheme="minorHAnsi" w:hAnsiTheme="minorHAnsi"/>
          <w:sz w:val="24"/>
          <w:szCs w:val="24"/>
        </w:rPr>
        <w:t>,</w:t>
      </w:r>
      <w:r w:rsidR="005C508E" w:rsidRPr="00F314C1">
        <w:rPr>
          <w:rFonts w:asciiTheme="minorHAnsi" w:hAnsiTheme="minorHAnsi"/>
          <w:sz w:val="24"/>
          <w:szCs w:val="24"/>
        </w:rPr>
        <w:t xml:space="preserve"> and IDM Consulting. The </w:t>
      </w:r>
      <w:r w:rsidR="00547F4F" w:rsidRPr="00F314C1">
        <w:rPr>
          <w:rFonts w:asciiTheme="minorHAnsi" w:hAnsiTheme="minorHAnsi"/>
          <w:sz w:val="24"/>
          <w:szCs w:val="24"/>
        </w:rPr>
        <w:t xml:space="preserve">primary </w:t>
      </w:r>
      <w:r w:rsidR="005C508E" w:rsidRPr="00F314C1">
        <w:rPr>
          <w:rFonts w:asciiTheme="minorHAnsi" w:hAnsiTheme="minorHAnsi"/>
          <w:sz w:val="24"/>
          <w:szCs w:val="24"/>
        </w:rPr>
        <w:t xml:space="preserve">objective of the </w:t>
      </w:r>
      <w:r w:rsidRPr="00F314C1">
        <w:rPr>
          <w:rFonts w:asciiTheme="minorHAnsi" w:hAnsiTheme="minorHAnsi"/>
          <w:sz w:val="24"/>
          <w:szCs w:val="24"/>
        </w:rPr>
        <w:t>s</w:t>
      </w:r>
      <w:r w:rsidR="005C508E" w:rsidRPr="00F314C1">
        <w:rPr>
          <w:rFonts w:asciiTheme="minorHAnsi" w:hAnsiTheme="minorHAnsi"/>
          <w:sz w:val="24"/>
          <w:szCs w:val="24"/>
        </w:rPr>
        <w:t>urvey was to quantify the intake of subsistence foods among reside</w:t>
      </w:r>
      <w:r w:rsidR="00CF200C" w:rsidRPr="00F314C1">
        <w:rPr>
          <w:rFonts w:asciiTheme="minorHAnsi" w:hAnsiTheme="minorHAnsi"/>
          <w:sz w:val="24"/>
          <w:szCs w:val="24"/>
        </w:rPr>
        <w:t>nts of rural villages in Alaska</w:t>
      </w:r>
      <w:r w:rsidR="00854250" w:rsidRPr="00F314C1">
        <w:rPr>
          <w:rFonts w:asciiTheme="minorHAnsi" w:hAnsiTheme="minorHAnsi"/>
          <w:sz w:val="24"/>
          <w:szCs w:val="24"/>
        </w:rPr>
        <w:t xml:space="preserve"> using a retrospective dietary assessment survey</w:t>
      </w:r>
      <w:r w:rsidR="00CF200C" w:rsidRPr="00F314C1">
        <w:rPr>
          <w:rFonts w:asciiTheme="minorHAnsi" w:hAnsiTheme="minorHAnsi"/>
          <w:sz w:val="24"/>
          <w:szCs w:val="24"/>
        </w:rPr>
        <w:t xml:space="preserve">. The survey was the first step </w:t>
      </w:r>
      <w:r w:rsidRPr="00F314C1">
        <w:rPr>
          <w:rFonts w:asciiTheme="minorHAnsi" w:hAnsiTheme="minorHAnsi"/>
          <w:sz w:val="24"/>
          <w:szCs w:val="24"/>
        </w:rPr>
        <w:t xml:space="preserve">in </w:t>
      </w:r>
      <w:r w:rsidR="00CF200C" w:rsidRPr="00F314C1">
        <w:rPr>
          <w:rFonts w:asciiTheme="minorHAnsi" w:hAnsiTheme="minorHAnsi"/>
          <w:sz w:val="24"/>
          <w:szCs w:val="24"/>
        </w:rPr>
        <w:t xml:space="preserve">a long term project to help people evaluate health benefits and potential risks of consuming subsistence foods and </w:t>
      </w:r>
      <w:r w:rsidR="00FA3456" w:rsidRPr="00F314C1">
        <w:rPr>
          <w:rFonts w:asciiTheme="minorHAnsi" w:hAnsiTheme="minorHAnsi"/>
          <w:sz w:val="24"/>
          <w:szCs w:val="24"/>
        </w:rPr>
        <w:t xml:space="preserve">to </w:t>
      </w:r>
      <w:r w:rsidR="00CF200C" w:rsidRPr="00F314C1">
        <w:rPr>
          <w:rFonts w:asciiTheme="minorHAnsi" w:hAnsiTheme="minorHAnsi"/>
          <w:sz w:val="24"/>
          <w:szCs w:val="24"/>
        </w:rPr>
        <w:t>make informed dietary choices.</w:t>
      </w:r>
    </w:p>
    <w:p w14:paraId="64987FBF" w14:textId="77777777" w:rsidR="005F3F7E" w:rsidRPr="00F314C1" w:rsidRDefault="005F3F7E" w:rsidP="00C379D4">
      <w:pPr>
        <w:pStyle w:val="Heading4"/>
        <w:keepNext/>
        <w:jc w:val="both"/>
        <w:rPr>
          <w:sz w:val="24"/>
          <w:szCs w:val="24"/>
        </w:rPr>
      </w:pPr>
      <w:r w:rsidRPr="00F314C1">
        <w:rPr>
          <w:sz w:val="24"/>
          <w:szCs w:val="24"/>
        </w:rPr>
        <w:t>Study Population</w:t>
      </w:r>
    </w:p>
    <w:p w14:paraId="64987FC0" w14:textId="14B403A1" w:rsidR="008C3167" w:rsidRPr="00F314C1" w:rsidRDefault="005E1C28" w:rsidP="00C379D4">
      <w:pPr>
        <w:keepNext/>
        <w:jc w:val="both"/>
        <w:rPr>
          <w:rFonts w:asciiTheme="minorHAnsi" w:hAnsiTheme="minorHAnsi"/>
          <w:sz w:val="24"/>
          <w:szCs w:val="24"/>
        </w:rPr>
      </w:pPr>
      <w:r w:rsidRPr="00F314C1">
        <w:rPr>
          <w:rFonts w:asciiTheme="minorHAnsi" w:hAnsiTheme="minorHAnsi"/>
          <w:sz w:val="24"/>
          <w:szCs w:val="24"/>
        </w:rPr>
        <w:t>R</w:t>
      </w:r>
      <w:r w:rsidR="008C3167" w:rsidRPr="00F314C1">
        <w:rPr>
          <w:rFonts w:asciiTheme="minorHAnsi" w:hAnsiTheme="minorHAnsi"/>
          <w:sz w:val="24"/>
          <w:szCs w:val="24"/>
        </w:rPr>
        <w:t xml:space="preserve">esidents over the age of 13 living </w:t>
      </w:r>
      <w:r w:rsidR="00045C54" w:rsidRPr="00F314C1">
        <w:rPr>
          <w:rFonts w:asciiTheme="minorHAnsi" w:hAnsiTheme="minorHAnsi"/>
          <w:sz w:val="24"/>
          <w:szCs w:val="24"/>
        </w:rPr>
        <w:t xml:space="preserve">in </w:t>
      </w:r>
      <w:r w:rsidR="008C3167" w:rsidRPr="00F314C1">
        <w:rPr>
          <w:rFonts w:asciiTheme="minorHAnsi" w:hAnsiTheme="minorHAnsi"/>
          <w:sz w:val="24"/>
          <w:szCs w:val="24"/>
        </w:rPr>
        <w:t>the participating villages</w:t>
      </w:r>
      <w:r w:rsidRPr="00F314C1">
        <w:rPr>
          <w:rFonts w:asciiTheme="minorHAnsi" w:hAnsiTheme="minorHAnsi"/>
          <w:sz w:val="24"/>
          <w:szCs w:val="24"/>
        </w:rPr>
        <w:t xml:space="preserve"> were invited</w:t>
      </w:r>
      <w:r w:rsidR="008C3167" w:rsidRPr="00F314C1">
        <w:rPr>
          <w:rFonts w:asciiTheme="minorHAnsi" w:hAnsiTheme="minorHAnsi"/>
          <w:sz w:val="24"/>
          <w:szCs w:val="24"/>
        </w:rPr>
        <w:t xml:space="preserve"> </w:t>
      </w:r>
      <w:r w:rsidR="009654A9" w:rsidRPr="00F314C1">
        <w:rPr>
          <w:rFonts w:asciiTheme="minorHAnsi" w:hAnsiTheme="minorHAnsi"/>
          <w:sz w:val="24"/>
          <w:szCs w:val="24"/>
        </w:rPr>
        <w:t>to join the study</w:t>
      </w:r>
      <w:r w:rsidR="00CF200C" w:rsidRPr="00F314C1">
        <w:rPr>
          <w:rFonts w:asciiTheme="minorHAnsi" w:hAnsiTheme="minorHAnsi"/>
          <w:sz w:val="24"/>
          <w:szCs w:val="24"/>
        </w:rPr>
        <w:t xml:space="preserve">. </w:t>
      </w:r>
      <w:r w:rsidR="008C3167" w:rsidRPr="00F314C1">
        <w:rPr>
          <w:rFonts w:asciiTheme="minorHAnsi" w:hAnsiTheme="minorHAnsi"/>
          <w:sz w:val="24"/>
          <w:szCs w:val="24"/>
        </w:rPr>
        <w:t xml:space="preserve">In villages with a population </w:t>
      </w:r>
      <w:r w:rsidR="00045C54" w:rsidRPr="00F314C1">
        <w:rPr>
          <w:rFonts w:asciiTheme="minorHAnsi" w:hAnsiTheme="minorHAnsi"/>
          <w:sz w:val="24"/>
          <w:szCs w:val="24"/>
        </w:rPr>
        <w:t xml:space="preserve">of </w:t>
      </w:r>
      <w:r w:rsidRPr="00F314C1">
        <w:rPr>
          <w:rFonts w:asciiTheme="minorHAnsi" w:hAnsiTheme="minorHAnsi"/>
          <w:sz w:val="24"/>
          <w:szCs w:val="24"/>
        </w:rPr>
        <w:t xml:space="preserve">more than </w:t>
      </w:r>
      <w:r w:rsidR="008C3167" w:rsidRPr="00F314C1">
        <w:rPr>
          <w:rFonts w:asciiTheme="minorHAnsi" w:hAnsiTheme="minorHAnsi"/>
          <w:sz w:val="24"/>
          <w:szCs w:val="24"/>
        </w:rPr>
        <w:t>150 people</w:t>
      </w:r>
      <w:r w:rsidR="00045C54" w:rsidRPr="00F314C1">
        <w:rPr>
          <w:rFonts w:asciiTheme="minorHAnsi" w:hAnsiTheme="minorHAnsi"/>
          <w:sz w:val="24"/>
          <w:szCs w:val="24"/>
        </w:rPr>
        <w:t>,</w:t>
      </w:r>
      <w:r w:rsidR="008C3167" w:rsidRPr="00F314C1">
        <w:rPr>
          <w:rFonts w:asciiTheme="minorHAnsi" w:hAnsiTheme="minorHAnsi"/>
          <w:sz w:val="24"/>
          <w:szCs w:val="24"/>
        </w:rPr>
        <w:t xml:space="preserve"> the study coordinators were asked to recruit 80 men and women in proportion to the village’s age demographics. In villages </w:t>
      </w:r>
      <w:r w:rsidRPr="00F314C1">
        <w:rPr>
          <w:rFonts w:asciiTheme="minorHAnsi" w:hAnsiTheme="minorHAnsi"/>
          <w:sz w:val="24"/>
          <w:szCs w:val="24"/>
        </w:rPr>
        <w:t xml:space="preserve">with </w:t>
      </w:r>
      <w:r w:rsidR="008C3167" w:rsidRPr="00F314C1">
        <w:rPr>
          <w:rFonts w:asciiTheme="minorHAnsi" w:hAnsiTheme="minorHAnsi"/>
          <w:sz w:val="24"/>
          <w:szCs w:val="24"/>
        </w:rPr>
        <w:t>less than 15</w:t>
      </w:r>
      <w:r w:rsidR="00FA3456" w:rsidRPr="00F314C1">
        <w:rPr>
          <w:rFonts w:asciiTheme="minorHAnsi" w:hAnsiTheme="minorHAnsi"/>
          <w:sz w:val="24"/>
          <w:szCs w:val="24"/>
        </w:rPr>
        <w:t>0 people</w:t>
      </w:r>
      <w:r w:rsidRPr="00F314C1">
        <w:rPr>
          <w:rFonts w:asciiTheme="minorHAnsi" w:hAnsiTheme="minorHAnsi"/>
          <w:sz w:val="24"/>
          <w:szCs w:val="24"/>
        </w:rPr>
        <w:t>,</w:t>
      </w:r>
      <w:r w:rsidR="00FA3456" w:rsidRPr="00F314C1">
        <w:rPr>
          <w:rFonts w:asciiTheme="minorHAnsi" w:hAnsiTheme="minorHAnsi"/>
          <w:sz w:val="24"/>
          <w:szCs w:val="24"/>
        </w:rPr>
        <w:t xml:space="preserve"> coordinators recruited</w:t>
      </w:r>
      <w:r w:rsidR="008C3167" w:rsidRPr="00F314C1">
        <w:rPr>
          <w:rFonts w:asciiTheme="minorHAnsi" w:hAnsiTheme="minorHAnsi"/>
          <w:sz w:val="24"/>
          <w:szCs w:val="24"/>
        </w:rPr>
        <w:t xml:space="preserve"> as many eligible participants as possible</w:t>
      </w:r>
      <w:r w:rsidR="00045C54" w:rsidRPr="00F314C1">
        <w:rPr>
          <w:rFonts w:asciiTheme="minorHAnsi" w:hAnsiTheme="minorHAnsi"/>
          <w:sz w:val="24"/>
          <w:szCs w:val="24"/>
        </w:rPr>
        <w:t>, regardless of sex</w:t>
      </w:r>
      <w:r w:rsidR="008C3167" w:rsidRPr="00F314C1">
        <w:rPr>
          <w:rFonts w:asciiTheme="minorHAnsi" w:hAnsiTheme="minorHAnsi"/>
          <w:sz w:val="24"/>
          <w:szCs w:val="24"/>
        </w:rPr>
        <w:t>. All eligible</w:t>
      </w:r>
      <w:r w:rsidR="00045C54" w:rsidRPr="00F314C1">
        <w:rPr>
          <w:rFonts w:asciiTheme="minorHAnsi" w:hAnsiTheme="minorHAnsi"/>
          <w:sz w:val="24"/>
          <w:szCs w:val="24"/>
        </w:rPr>
        <w:t xml:space="preserve"> and interested</w:t>
      </w:r>
      <w:r w:rsidR="008C3167" w:rsidRPr="00F314C1">
        <w:rPr>
          <w:rFonts w:asciiTheme="minorHAnsi" w:hAnsiTheme="minorHAnsi"/>
          <w:sz w:val="24"/>
          <w:szCs w:val="24"/>
        </w:rPr>
        <w:t xml:space="preserve"> participants were included</w:t>
      </w:r>
      <w:r w:rsidR="00045C54" w:rsidRPr="00F314C1">
        <w:rPr>
          <w:rFonts w:asciiTheme="minorHAnsi" w:hAnsiTheme="minorHAnsi"/>
          <w:sz w:val="24"/>
          <w:szCs w:val="24"/>
        </w:rPr>
        <w:t xml:space="preserve"> in the survey</w:t>
      </w:r>
      <w:r w:rsidR="008C3167" w:rsidRPr="00F314C1">
        <w:rPr>
          <w:rFonts w:asciiTheme="minorHAnsi" w:hAnsiTheme="minorHAnsi"/>
          <w:sz w:val="24"/>
          <w:szCs w:val="24"/>
        </w:rPr>
        <w:t>.</w:t>
      </w:r>
    </w:p>
    <w:p w14:paraId="64987FC1" w14:textId="15DF1B2F" w:rsidR="003C4B6B" w:rsidRPr="00F314C1" w:rsidRDefault="00E808E9" w:rsidP="00C379D4">
      <w:pPr>
        <w:jc w:val="both"/>
        <w:rPr>
          <w:rFonts w:asciiTheme="minorHAnsi" w:hAnsiTheme="minorHAnsi"/>
          <w:sz w:val="24"/>
          <w:szCs w:val="24"/>
        </w:rPr>
      </w:pPr>
      <w:r w:rsidRPr="00F314C1">
        <w:rPr>
          <w:rFonts w:asciiTheme="minorHAnsi" w:hAnsiTheme="minorHAnsi"/>
          <w:sz w:val="24"/>
          <w:szCs w:val="24"/>
        </w:rPr>
        <w:t>The final study sample</w:t>
      </w:r>
      <w:r w:rsidR="003C4B6B" w:rsidRPr="00F314C1">
        <w:rPr>
          <w:rFonts w:asciiTheme="minorHAnsi" w:hAnsiTheme="minorHAnsi"/>
          <w:sz w:val="24"/>
          <w:szCs w:val="24"/>
        </w:rPr>
        <w:t xml:space="preserve"> included 665 participants from 13 villages located in </w:t>
      </w:r>
      <w:r w:rsidR="00457732" w:rsidRPr="00F314C1">
        <w:rPr>
          <w:rFonts w:asciiTheme="minorHAnsi" w:hAnsiTheme="minorHAnsi"/>
          <w:sz w:val="24"/>
          <w:szCs w:val="24"/>
        </w:rPr>
        <w:t>five</w:t>
      </w:r>
      <w:r w:rsidR="003C4B6B" w:rsidRPr="00F314C1">
        <w:rPr>
          <w:rFonts w:asciiTheme="minorHAnsi" w:hAnsiTheme="minorHAnsi"/>
          <w:sz w:val="24"/>
          <w:szCs w:val="24"/>
        </w:rPr>
        <w:t xml:space="preserve"> regional health corporations in Alaska</w:t>
      </w:r>
      <w:r w:rsidR="005E1C28" w:rsidRPr="00F314C1">
        <w:rPr>
          <w:rFonts w:asciiTheme="minorHAnsi" w:hAnsiTheme="minorHAnsi"/>
          <w:sz w:val="24"/>
          <w:szCs w:val="24"/>
        </w:rPr>
        <w:t>, including</w:t>
      </w:r>
      <w:r w:rsidR="003C4B6B" w:rsidRPr="00F314C1">
        <w:rPr>
          <w:rFonts w:asciiTheme="minorHAnsi" w:hAnsiTheme="minorHAnsi"/>
          <w:sz w:val="24"/>
          <w:szCs w:val="24"/>
        </w:rPr>
        <w:t xml:space="preserve"> Norton Sound Health Corporation (NSHC), Yukon-Kuskokwim Health Corporation (YKHC), Bristol Bay Area Health Corporation (BBAHC), Tanana Chiefs Conference Region (TCC)</w:t>
      </w:r>
      <w:r w:rsidR="005E1C28" w:rsidRPr="00F314C1">
        <w:rPr>
          <w:rFonts w:asciiTheme="minorHAnsi" w:hAnsiTheme="minorHAnsi"/>
          <w:sz w:val="24"/>
          <w:szCs w:val="24"/>
        </w:rPr>
        <w:t>,</w:t>
      </w:r>
      <w:r w:rsidR="003C4B6B" w:rsidRPr="00F314C1">
        <w:rPr>
          <w:rFonts w:asciiTheme="minorHAnsi" w:hAnsiTheme="minorHAnsi"/>
          <w:sz w:val="24"/>
          <w:szCs w:val="24"/>
        </w:rPr>
        <w:t xml:space="preserve"> and the South</w:t>
      </w:r>
      <w:r w:rsidR="00457732" w:rsidRPr="00F314C1">
        <w:rPr>
          <w:rFonts w:asciiTheme="minorHAnsi" w:hAnsiTheme="minorHAnsi"/>
          <w:sz w:val="24"/>
          <w:szCs w:val="24"/>
        </w:rPr>
        <w:t>e</w:t>
      </w:r>
      <w:r w:rsidR="003C4B6B" w:rsidRPr="00F314C1">
        <w:rPr>
          <w:rFonts w:asciiTheme="minorHAnsi" w:hAnsiTheme="minorHAnsi"/>
          <w:sz w:val="24"/>
          <w:szCs w:val="24"/>
        </w:rPr>
        <w:t>ast Alaska Regional Health Consortium (SEARHC).</w:t>
      </w:r>
      <w:r w:rsidR="009654A9" w:rsidRPr="00F314C1">
        <w:rPr>
          <w:rFonts w:asciiTheme="minorHAnsi" w:hAnsiTheme="minorHAnsi"/>
          <w:sz w:val="24"/>
          <w:szCs w:val="24"/>
        </w:rPr>
        <w:t xml:space="preserve"> These health corporations represent geographically diverse areas of Alaska. </w:t>
      </w:r>
      <w:r w:rsidR="008C3167" w:rsidRPr="00F314C1">
        <w:rPr>
          <w:rFonts w:asciiTheme="minorHAnsi" w:hAnsiTheme="minorHAnsi"/>
          <w:sz w:val="24"/>
          <w:szCs w:val="24"/>
        </w:rPr>
        <w:t xml:space="preserve">Participants were between 13 and 88 years </w:t>
      </w:r>
      <w:r w:rsidR="00FA3456" w:rsidRPr="00F314C1">
        <w:rPr>
          <w:rFonts w:asciiTheme="minorHAnsi" w:hAnsiTheme="minorHAnsi"/>
          <w:sz w:val="24"/>
          <w:szCs w:val="24"/>
        </w:rPr>
        <w:t xml:space="preserve">in age </w:t>
      </w:r>
      <w:r w:rsidR="008C3167" w:rsidRPr="00F314C1">
        <w:rPr>
          <w:rFonts w:asciiTheme="minorHAnsi" w:hAnsiTheme="minorHAnsi"/>
          <w:sz w:val="24"/>
          <w:szCs w:val="24"/>
        </w:rPr>
        <w:t xml:space="preserve">and included 253 men and 401 women (gender information was missing for 11 participants). </w:t>
      </w:r>
      <w:r w:rsidR="00045C54" w:rsidRPr="00F314C1">
        <w:rPr>
          <w:rFonts w:asciiTheme="minorHAnsi" w:hAnsiTheme="minorHAnsi"/>
          <w:sz w:val="24"/>
          <w:szCs w:val="24"/>
        </w:rPr>
        <w:t>The vast majority (</w:t>
      </w:r>
      <w:r w:rsidR="008C3167" w:rsidRPr="00F314C1">
        <w:rPr>
          <w:rFonts w:asciiTheme="minorHAnsi" w:hAnsiTheme="minorHAnsi"/>
          <w:sz w:val="24"/>
          <w:szCs w:val="24"/>
        </w:rPr>
        <w:t>95%</w:t>
      </w:r>
      <w:r w:rsidR="00045C54" w:rsidRPr="00F314C1">
        <w:rPr>
          <w:rFonts w:asciiTheme="minorHAnsi" w:hAnsiTheme="minorHAnsi"/>
          <w:sz w:val="24"/>
          <w:szCs w:val="24"/>
        </w:rPr>
        <w:t>)</w:t>
      </w:r>
      <w:r w:rsidR="008C3167" w:rsidRPr="00F314C1">
        <w:rPr>
          <w:rFonts w:asciiTheme="minorHAnsi" w:hAnsiTheme="minorHAnsi"/>
          <w:sz w:val="24"/>
          <w:szCs w:val="24"/>
        </w:rPr>
        <w:t xml:space="preserve"> of study participants described their ethnicity as Alaska Native.</w:t>
      </w:r>
    </w:p>
    <w:p w14:paraId="64987FC2" w14:textId="77777777" w:rsidR="00326219" w:rsidRPr="00F314C1" w:rsidRDefault="006A3D52" w:rsidP="00C379D4">
      <w:pPr>
        <w:pStyle w:val="Heading4"/>
        <w:jc w:val="both"/>
        <w:rPr>
          <w:sz w:val="24"/>
          <w:szCs w:val="24"/>
        </w:rPr>
      </w:pPr>
      <w:r w:rsidRPr="00F314C1">
        <w:rPr>
          <w:sz w:val="24"/>
          <w:szCs w:val="24"/>
        </w:rPr>
        <w:t>Data Collection M</w:t>
      </w:r>
      <w:r w:rsidR="00326219" w:rsidRPr="00F314C1">
        <w:rPr>
          <w:sz w:val="24"/>
          <w:szCs w:val="24"/>
        </w:rPr>
        <w:t>ethods</w:t>
      </w:r>
    </w:p>
    <w:p w14:paraId="64987FC3" w14:textId="08B0A486" w:rsidR="00CF200C" w:rsidRPr="00F314C1" w:rsidRDefault="006002E7" w:rsidP="00C379D4">
      <w:pPr>
        <w:jc w:val="both"/>
        <w:rPr>
          <w:rFonts w:asciiTheme="minorHAnsi" w:hAnsiTheme="minorHAnsi"/>
          <w:sz w:val="24"/>
          <w:szCs w:val="24"/>
        </w:rPr>
      </w:pPr>
      <w:r w:rsidRPr="00F314C1">
        <w:rPr>
          <w:rFonts w:asciiTheme="minorHAnsi" w:hAnsiTheme="minorHAnsi"/>
          <w:sz w:val="24"/>
          <w:szCs w:val="24"/>
        </w:rPr>
        <w:t>Each village was asked to designate two interviewers and one study coordinator. The</w:t>
      </w:r>
      <w:r w:rsidR="00854250" w:rsidRPr="00F314C1">
        <w:rPr>
          <w:rFonts w:asciiTheme="minorHAnsi" w:hAnsiTheme="minorHAnsi"/>
          <w:sz w:val="24"/>
          <w:szCs w:val="24"/>
        </w:rPr>
        <w:t xml:space="preserve"> interviewers</w:t>
      </w:r>
      <w:r w:rsidRPr="00F314C1">
        <w:rPr>
          <w:rFonts w:asciiTheme="minorHAnsi" w:hAnsiTheme="minorHAnsi"/>
          <w:sz w:val="24"/>
          <w:szCs w:val="24"/>
        </w:rPr>
        <w:t xml:space="preserve"> traveled to Anchorage to receive two days of training on the data collection methods. </w:t>
      </w:r>
      <w:r w:rsidR="00A02A61" w:rsidRPr="00F314C1">
        <w:rPr>
          <w:rFonts w:asciiTheme="minorHAnsi" w:hAnsiTheme="minorHAnsi"/>
          <w:sz w:val="24"/>
          <w:szCs w:val="24"/>
        </w:rPr>
        <w:t>Data</w:t>
      </w:r>
      <w:r w:rsidR="00A85B03" w:rsidRPr="00F314C1">
        <w:rPr>
          <w:rFonts w:asciiTheme="minorHAnsi" w:hAnsiTheme="minorHAnsi"/>
          <w:sz w:val="24"/>
          <w:szCs w:val="24"/>
        </w:rPr>
        <w:t xml:space="preserve"> collection</w:t>
      </w:r>
      <w:r w:rsidR="00A02A61" w:rsidRPr="00F314C1">
        <w:rPr>
          <w:rFonts w:asciiTheme="minorHAnsi" w:hAnsiTheme="minorHAnsi"/>
          <w:sz w:val="24"/>
          <w:szCs w:val="24"/>
        </w:rPr>
        <w:t xml:space="preserve"> took place during the summer of 2002</w:t>
      </w:r>
      <w:r w:rsidR="00045C54" w:rsidRPr="00F314C1">
        <w:rPr>
          <w:rFonts w:asciiTheme="minorHAnsi" w:hAnsiTheme="minorHAnsi"/>
          <w:sz w:val="24"/>
          <w:szCs w:val="24"/>
        </w:rPr>
        <w:t>,</w:t>
      </w:r>
      <w:r w:rsidR="00A85B03" w:rsidRPr="00F314C1">
        <w:rPr>
          <w:rFonts w:asciiTheme="minorHAnsi" w:hAnsiTheme="minorHAnsi"/>
          <w:sz w:val="24"/>
          <w:szCs w:val="24"/>
        </w:rPr>
        <w:t xml:space="preserve"> during which a single interview was conducted with each participant</w:t>
      </w:r>
      <w:r w:rsidR="00A02A61" w:rsidRPr="00F314C1">
        <w:rPr>
          <w:rFonts w:asciiTheme="minorHAnsi" w:hAnsiTheme="minorHAnsi"/>
          <w:sz w:val="24"/>
          <w:szCs w:val="24"/>
        </w:rPr>
        <w:t xml:space="preserve">. Interviewers used a </w:t>
      </w:r>
      <w:r w:rsidR="0079726E" w:rsidRPr="00F314C1">
        <w:rPr>
          <w:rFonts w:asciiTheme="minorHAnsi" w:hAnsiTheme="minorHAnsi"/>
          <w:sz w:val="24"/>
          <w:szCs w:val="24"/>
        </w:rPr>
        <w:t>FFQ</w:t>
      </w:r>
      <w:r w:rsidRPr="00F314C1">
        <w:rPr>
          <w:rFonts w:asciiTheme="minorHAnsi" w:hAnsiTheme="minorHAnsi"/>
          <w:sz w:val="24"/>
          <w:szCs w:val="24"/>
        </w:rPr>
        <w:t xml:space="preserve"> to record what types </w:t>
      </w:r>
      <w:r w:rsidR="00045C54" w:rsidRPr="00F314C1">
        <w:rPr>
          <w:rFonts w:asciiTheme="minorHAnsi" w:hAnsiTheme="minorHAnsi"/>
          <w:sz w:val="24"/>
          <w:szCs w:val="24"/>
        </w:rPr>
        <w:t xml:space="preserve">and quantities </w:t>
      </w:r>
      <w:r w:rsidRPr="00F314C1">
        <w:rPr>
          <w:rFonts w:asciiTheme="minorHAnsi" w:hAnsiTheme="minorHAnsi"/>
          <w:sz w:val="24"/>
          <w:szCs w:val="24"/>
        </w:rPr>
        <w:t xml:space="preserve">of foods individuals consumed </w:t>
      </w:r>
      <w:r w:rsidR="00045C54" w:rsidRPr="00F314C1">
        <w:rPr>
          <w:rFonts w:asciiTheme="minorHAnsi" w:hAnsiTheme="minorHAnsi"/>
          <w:sz w:val="24"/>
          <w:szCs w:val="24"/>
        </w:rPr>
        <w:t>during</w:t>
      </w:r>
      <w:r w:rsidR="00ED04C2" w:rsidRPr="00F314C1">
        <w:rPr>
          <w:rFonts w:asciiTheme="minorHAnsi" w:hAnsiTheme="minorHAnsi"/>
          <w:sz w:val="24"/>
          <w:szCs w:val="24"/>
        </w:rPr>
        <w:t xml:space="preserve"> the previous 12 months</w:t>
      </w:r>
      <w:r w:rsidRPr="00F314C1">
        <w:rPr>
          <w:rFonts w:asciiTheme="minorHAnsi" w:hAnsiTheme="minorHAnsi"/>
          <w:sz w:val="24"/>
          <w:szCs w:val="24"/>
        </w:rPr>
        <w:t>.</w:t>
      </w:r>
      <w:r w:rsidR="00854250" w:rsidRPr="00F314C1">
        <w:rPr>
          <w:rFonts w:asciiTheme="minorHAnsi" w:hAnsiTheme="minorHAnsi"/>
          <w:sz w:val="24"/>
          <w:szCs w:val="24"/>
        </w:rPr>
        <w:t xml:space="preserve"> </w:t>
      </w:r>
      <w:r w:rsidR="00ED04C2" w:rsidRPr="00F314C1">
        <w:rPr>
          <w:rFonts w:asciiTheme="minorHAnsi" w:hAnsiTheme="minorHAnsi"/>
          <w:sz w:val="24"/>
          <w:szCs w:val="24"/>
        </w:rPr>
        <w:t>The questionnaire also allowed participants to indicate whether each specific food was eaten year</w:t>
      </w:r>
      <w:r w:rsidR="00045C54" w:rsidRPr="00F314C1">
        <w:rPr>
          <w:rFonts w:asciiTheme="minorHAnsi" w:hAnsiTheme="minorHAnsi"/>
          <w:sz w:val="24"/>
          <w:szCs w:val="24"/>
        </w:rPr>
        <w:t>-</w:t>
      </w:r>
      <w:r w:rsidR="00ED04C2" w:rsidRPr="00F314C1">
        <w:rPr>
          <w:rFonts w:asciiTheme="minorHAnsi" w:hAnsiTheme="minorHAnsi"/>
          <w:sz w:val="24"/>
          <w:szCs w:val="24"/>
        </w:rPr>
        <w:t xml:space="preserve">round or seasonally. </w:t>
      </w:r>
      <w:r w:rsidR="00A85B03" w:rsidRPr="00F314C1">
        <w:rPr>
          <w:rFonts w:asciiTheme="minorHAnsi" w:hAnsiTheme="minorHAnsi"/>
          <w:sz w:val="24"/>
          <w:szCs w:val="24"/>
        </w:rPr>
        <w:t>T</w:t>
      </w:r>
      <w:r w:rsidR="00854250" w:rsidRPr="00F314C1">
        <w:rPr>
          <w:rFonts w:asciiTheme="minorHAnsi" w:hAnsiTheme="minorHAnsi"/>
          <w:sz w:val="24"/>
          <w:szCs w:val="24"/>
        </w:rPr>
        <w:t xml:space="preserve">he questionnaire </w:t>
      </w:r>
      <w:r w:rsidR="00A85B03" w:rsidRPr="00F314C1">
        <w:rPr>
          <w:rFonts w:asciiTheme="minorHAnsi" w:hAnsiTheme="minorHAnsi"/>
          <w:sz w:val="24"/>
          <w:szCs w:val="24"/>
        </w:rPr>
        <w:t xml:space="preserve">was administered </w:t>
      </w:r>
      <w:r w:rsidR="00854250" w:rsidRPr="00F314C1">
        <w:rPr>
          <w:rFonts w:asciiTheme="minorHAnsi" w:hAnsiTheme="minorHAnsi"/>
          <w:sz w:val="24"/>
          <w:szCs w:val="24"/>
        </w:rPr>
        <w:t>in a standardized manner using three</w:t>
      </w:r>
      <w:r w:rsidR="00045C54" w:rsidRPr="00F314C1">
        <w:rPr>
          <w:rFonts w:asciiTheme="minorHAnsi" w:hAnsiTheme="minorHAnsi"/>
          <w:sz w:val="24"/>
          <w:szCs w:val="24"/>
        </w:rPr>
        <w:t>-</w:t>
      </w:r>
      <w:r w:rsidR="00854250" w:rsidRPr="00F314C1">
        <w:rPr>
          <w:rFonts w:asciiTheme="minorHAnsi" w:hAnsiTheme="minorHAnsi"/>
          <w:sz w:val="24"/>
          <w:szCs w:val="24"/>
        </w:rPr>
        <w:t xml:space="preserve">dimensional food models, dishes, cups, bowls and serving utensils to help participants estimate portion sizes. Interviewers also </w:t>
      </w:r>
      <w:r w:rsidR="000A79F1" w:rsidRPr="00F314C1">
        <w:rPr>
          <w:rFonts w:asciiTheme="minorHAnsi" w:hAnsiTheme="minorHAnsi"/>
          <w:sz w:val="24"/>
          <w:szCs w:val="24"/>
        </w:rPr>
        <w:t>used</w:t>
      </w:r>
      <w:r w:rsidR="00854250" w:rsidRPr="00F314C1">
        <w:rPr>
          <w:rFonts w:asciiTheme="minorHAnsi" w:hAnsiTheme="minorHAnsi"/>
          <w:sz w:val="24"/>
          <w:szCs w:val="24"/>
        </w:rPr>
        <w:t xml:space="preserve"> reference documents to help identify plant, fish</w:t>
      </w:r>
      <w:r w:rsidR="000A79F1" w:rsidRPr="00F314C1">
        <w:rPr>
          <w:rFonts w:asciiTheme="minorHAnsi" w:hAnsiTheme="minorHAnsi"/>
          <w:sz w:val="24"/>
          <w:szCs w:val="24"/>
        </w:rPr>
        <w:t>,</w:t>
      </w:r>
      <w:r w:rsidR="00854250" w:rsidRPr="00F314C1">
        <w:rPr>
          <w:rFonts w:asciiTheme="minorHAnsi" w:hAnsiTheme="minorHAnsi"/>
          <w:sz w:val="24"/>
          <w:szCs w:val="24"/>
        </w:rPr>
        <w:t xml:space="preserve"> and animal spec</w:t>
      </w:r>
      <w:r w:rsidR="00A02A61" w:rsidRPr="00F314C1">
        <w:rPr>
          <w:rFonts w:asciiTheme="minorHAnsi" w:hAnsiTheme="minorHAnsi"/>
          <w:sz w:val="24"/>
          <w:szCs w:val="24"/>
        </w:rPr>
        <w:t>i</w:t>
      </w:r>
      <w:r w:rsidR="00854250" w:rsidRPr="00F314C1">
        <w:rPr>
          <w:rFonts w:asciiTheme="minorHAnsi" w:hAnsiTheme="minorHAnsi"/>
          <w:sz w:val="24"/>
          <w:szCs w:val="24"/>
        </w:rPr>
        <w:t>es.</w:t>
      </w:r>
      <w:r w:rsidR="00A85B03" w:rsidRPr="00F314C1">
        <w:rPr>
          <w:rFonts w:asciiTheme="minorHAnsi" w:hAnsiTheme="minorHAnsi"/>
          <w:sz w:val="24"/>
          <w:szCs w:val="24"/>
        </w:rPr>
        <w:t xml:space="preserve"> </w:t>
      </w:r>
      <w:r w:rsidR="000A79F1" w:rsidRPr="00F314C1">
        <w:rPr>
          <w:rFonts w:asciiTheme="minorHAnsi" w:hAnsiTheme="minorHAnsi"/>
          <w:sz w:val="24"/>
          <w:szCs w:val="24"/>
        </w:rPr>
        <w:t xml:space="preserve">Each of the </w:t>
      </w:r>
      <w:r w:rsidR="00A85B03" w:rsidRPr="00F314C1">
        <w:rPr>
          <w:rFonts w:asciiTheme="minorHAnsi" w:hAnsiTheme="minorHAnsi"/>
          <w:sz w:val="24"/>
          <w:szCs w:val="24"/>
        </w:rPr>
        <w:t>interviews lasted approximately 75 minutes</w:t>
      </w:r>
      <w:r w:rsidR="000A79F1" w:rsidRPr="00F314C1">
        <w:rPr>
          <w:rFonts w:asciiTheme="minorHAnsi" w:hAnsiTheme="minorHAnsi"/>
          <w:sz w:val="24"/>
          <w:szCs w:val="24"/>
        </w:rPr>
        <w:t>,</w:t>
      </w:r>
      <w:r w:rsidR="00A85B03" w:rsidRPr="00F314C1">
        <w:rPr>
          <w:rFonts w:asciiTheme="minorHAnsi" w:hAnsiTheme="minorHAnsi"/>
          <w:sz w:val="24"/>
          <w:szCs w:val="24"/>
        </w:rPr>
        <w:t xml:space="preserve"> although some lasted several hours</w:t>
      </w:r>
      <w:r w:rsidR="003F4F7E" w:rsidRPr="00F314C1">
        <w:rPr>
          <w:rFonts w:asciiTheme="minorHAnsi" w:hAnsiTheme="minorHAnsi"/>
          <w:sz w:val="24"/>
          <w:szCs w:val="24"/>
        </w:rPr>
        <w:t>;</w:t>
      </w:r>
      <w:r w:rsidR="00A85B03" w:rsidRPr="00F314C1">
        <w:rPr>
          <w:rFonts w:asciiTheme="minorHAnsi" w:hAnsiTheme="minorHAnsi"/>
          <w:sz w:val="24"/>
          <w:szCs w:val="24"/>
        </w:rPr>
        <w:t xml:space="preserve"> </w:t>
      </w:r>
      <w:r w:rsidR="000A79F1" w:rsidRPr="00F314C1">
        <w:rPr>
          <w:rFonts w:asciiTheme="minorHAnsi" w:hAnsiTheme="minorHAnsi"/>
          <w:sz w:val="24"/>
          <w:szCs w:val="24"/>
        </w:rPr>
        <w:t>a</w:t>
      </w:r>
      <w:r w:rsidR="00484376" w:rsidRPr="00F314C1">
        <w:rPr>
          <w:rFonts w:asciiTheme="minorHAnsi" w:hAnsiTheme="minorHAnsi"/>
          <w:sz w:val="24"/>
          <w:szCs w:val="24"/>
        </w:rPr>
        <w:t xml:space="preserve"> </w:t>
      </w:r>
      <w:r w:rsidR="00A85B03" w:rsidRPr="00F314C1">
        <w:rPr>
          <w:rFonts w:asciiTheme="minorHAnsi" w:hAnsiTheme="minorHAnsi"/>
          <w:sz w:val="24"/>
          <w:szCs w:val="24"/>
        </w:rPr>
        <w:t>time</w:t>
      </w:r>
      <w:r w:rsidR="003F4F7E" w:rsidRPr="00F314C1">
        <w:rPr>
          <w:rFonts w:asciiTheme="minorHAnsi" w:hAnsiTheme="minorHAnsi"/>
          <w:sz w:val="24"/>
          <w:szCs w:val="24"/>
        </w:rPr>
        <w:t>-</w:t>
      </w:r>
      <w:r w:rsidR="00A85B03" w:rsidRPr="00F314C1">
        <w:rPr>
          <w:rFonts w:asciiTheme="minorHAnsi" w:hAnsiTheme="minorHAnsi"/>
          <w:sz w:val="24"/>
          <w:szCs w:val="24"/>
        </w:rPr>
        <w:t xml:space="preserve">limit </w:t>
      </w:r>
      <w:r w:rsidR="000A79F1" w:rsidRPr="00F314C1">
        <w:rPr>
          <w:rFonts w:asciiTheme="minorHAnsi" w:hAnsiTheme="minorHAnsi"/>
          <w:sz w:val="24"/>
          <w:szCs w:val="24"/>
        </w:rPr>
        <w:t xml:space="preserve">was not </w:t>
      </w:r>
      <w:r w:rsidR="00A85B03" w:rsidRPr="00F314C1">
        <w:rPr>
          <w:rFonts w:asciiTheme="minorHAnsi" w:hAnsiTheme="minorHAnsi"/>
          <w:sz w:val="24"/>
          <w:szCs w:val="24"/>
        </w:rPr>
        <w:t xml:space="preserve">placed on the interview. Questionnaire forms were created in Cardiff </w:t>
      </w:r>
      <w:proofErr w:type="spellStart"/>
      <w:r w:rsidR="00A85B03" w:rsidRPr="00F314C1">
        <w:rPr>
          <w:rFonts w:asciiTheme="minorHAnsi" w:hAnsiTheme="minorHAnsi"/>
          <w:sz w:val="24"/>
          <w:szCs w:val="24"/>
        </w:rPr>
        <w:t>TELEform</w:t>
      </w:r>
      <w:proofErr w:type="spellEnd"/>
      <w:r w:rsidR="00A85B03" w:rsidRPr="00F314C1">
        <w:rPr>
          <w:rFonts w:asciiTheme="minorHAnsi" w:hAnsiTheme="minorHAnsi"/>
          <w:sz w:val="24"/>
          <w:szCs w:val="24"/>
        </w:rPr>
        <w:t xml:space="preserve"> Elite </w:t>
      </w:r>
      <w:r w:rsidR="00A85B03" w:rsidRPr="00F314C1">
        <w:rPr>
          <w:rFonts w:asciiTheme="minorHAnsi" w:hAnsiTheme="minorHAnsi"/>
          <w:sz w:val="24"/>
          <w:szCs w:val="24"/>
        </w:rPr>
        <w:lastRenderedPageBreak/>
        <w:t>Version 6.1</w:t>
      </w:r>
      <w:r w:rsidR="003F4F7E" w:rsidRPr="00F314C1">
        <w:rPr>
          <w:rFonts w:asciiTheme="minorHAnsi" w:hAnsiTheme="minorHAnsi"/>
          <w:sz w:val="24"/>
          <w:szCs w:val="24"/>
        </w:rPr>
        <w:t>;</w:t>
      </w:r>
      <w:r w:rsidR="00A85B03" w:rsidRPr="00F314C1">
        <w:rPr>
          <w:rFonts w:asciiTheme="minorHAnsi" w:hAnsiTheme="minorHAnsi"/>
          <w:sz w:val="24"/>
          <w:szCs w:val="24"/>
        </w:rPr>
        <w:t xml:space="preserve"> paper forms were used during the interviews to record responses. The</w:t>
      </w:r>
      <w:r w:rsidR="000A79F1" w:rsidRPr="00F314C1">
        <w:rPr>
          <w:rFonts w:asciiTheme="minorHAnsi" w:hAnsiTheme="minorHAnsi"/>
          <w:sz w:val="24"/>
          <w:szCs w:val="24"/>
        </w:rPr>
        <w:t xml:space="preserve"> completed </w:t>
      </w:r>
      <w:r w:rsidR="00A85B03" w:rsidRPr="00F314C1">
        <w:rPr>
          <w:rFonts w:asciiTheme="minorHAnsi" w:hAnsiTheme="minorHAnsi"/>
          <w:sz w:val="24"/>
          <w:szCs w:val="24"/>
        </w:rPr>
        <w:t>forms were reviewed by the Project Coordinator at the Alaska Native Epidemiology Center and then scanned into the project database.</w:t>
      </w:r>
    </w:p>
    <w:p w14:paraId="64987FC4" w14:textId="77777777" w:rsidR="006A29D2" w:rsidRPr="00F314C1" w:rsidRDefault="006A29D2" w:rsidP="00C379D4">
      <w:pPr>
        <w:pStyle w:val="Heading4"/>
        <w:keepNext/>
        <w:jc w:val="both"/>
        <w:rPr>
          <w:sz w:val="24"/>
          <w:szCs w:val="24"/>
        </w:rPr>
      </w:pPr>
      <w:r w:rsidRPr="00F314C1">
        <w:rPr>
          <w:sz w:val="24"/>
          <w:szCs w:val="24"/>
        </w:rPr>
        <w:t xml:space="preserve">Description of Data </w:t>
      </w:r>
    </w:p>
    <w:p w14:paraId="64987FC5" w14:textId="4D431641" w:rsidR="001A2FD5" w:rsidRPr="00F314C1" w:rsidRDefault="007868AD" w:rsidP="00C379D4">
      <w:pPr>
        <w:keepNext/>
        <w:jc w:val="both"/>
        <w:rPr>
          <w:rFonts w:asciiTheme="minorHAnsi" w:hAnsiTheme="minorHAnsi"/>
          <w:sz w:val="24"/>
          <w:szCs w:val="24"/>
        </w:rPr>
      </w:pPr>
      <w:r w:rsidRPr="00F314C1">
        <w:rPr>
          <w:rFonts w:asciiTheme="minorHAnsi" w:hAnsiTheme="minorHAnsi"/>
          <w:sz w:val="24"/>
          <w:szCs w:val="24"/>
        </w:rPr>
        <w:t xml:space="preserve">Data </w:t>
      </w:r>
      <w:r w:rsidR="000A79F1" w:rsidRPr="00F314C1">
        <w:rPr>
          <w:rFonts w:asciiTheme="minorHAnsi" w:hAnsiTheme="minorHAnsi"/>
          <w:sz w:val="24"/>
          <w:szCs w:val="24"/>
        </w:rPr>
        <w:t>were</w:t>
      </w:r>
      <w:r w:rsidRPr="00F314C1">
        <w:rPr>
          <w:rFonts w:asciiTheme="minorHAnsi" w:hAnsiTheme="minorHAnsi"/>
          <w:sz w:val="24"/>
          <w:szCs w:val="24"/>
        </w:rPr>
        <w:t xml:space="preserve"> collected on all food consumed, frequency of consumption</w:t>
      </w:r>
      <w:r w:rsidR="003D76AD" w:rsidRPr="00F314C1">
        <w:rPr>
          <w:rFonts w:asciiTheme="minorHAnsi" w:hAnsiTheme="minorHAnsi"/>
          <w:sz w:val="24"/>
          <w:szCs w:val="24"/>
        </w:rPr>
        <w:t>,</w:t>
      </w:r>
      <w:r w:rsidRPr="00F314C1">
        <w:rPr>
          <w:rFonts w:asciiTheme="minorHAnsi" w:hAnsiTheme="minorHAnsi"/>
          <w:sz w:val="24"/>
          <w:szCs w:val="24"/>
        </w:rPr>
        <w:t xml:space="preserve"> and typical portion sizes. The </w:t>
      </w:r>
      <w:r w:rsidR="003D76AD" w:rsidRPr="00F314C1">
        <w:rPr>
          <w:rFonts w:asciiTheme="minorHAnsi" w:hAnsiTheme="minorHAnsi"/>
          <w:sz w:val="24"/>
          <w:szCs w:val="24"/>
        </w:rPr>
        <w:t xml:space="preserve">report includes the following information: </w:t>
      </w:r>
      <w:r w:rsidRPr="00F314C1">
        <w:rPr>
          <w:rFonts w:asciiTheme="minorHAnsi" w:hAnsiTheme="minorHAnsi"/>
          <w:sz w:val="24"/>
          <w:szCs w:val="24"/>
        </w:rPr>
        <w:t xml:space="preserve">the gram weight of each </w:t>
      </w:r>
      <w:r w:rsidR="00382FC9" w:rsidRPr="00F314C1">
        <w:rPr>
          <w:rFonts w:asciiTheme="minorHAnsi" w:hAnsiTheme="minorHAnsi"/>
          <w:sz w:val="24"/>
          <w:szCs w:val="24"/>
        </w:rPr>
        <w:t xml:space="preserve">specific </w:t>
      </w:r>
      <w:r w:rsidRPr="00F314C1">
        <w:rPr>
          <w:rFonts w:asciiTheme="minorHAnsi" w:hAnsiTheme="minorHAnsi"/>
          <w:sz w:val="24"/>
          <w:szCs w:val="24"/>
        </w:rPr>
        <w:t>food and beverage consumed by each participant</w:t>
      </w:r>
      <w:r w:rsidR="003D76AD" w:rsidRPr="00F314C1">
        <w:rPr>
          <w:rFonts w:asciiTheme="minorHAnsi" w:hAnsiTheme="minorHAnsi"/>
          <w:sz w:val="24"/>
          <w:szCs w:val="24"/>
        </w:rPr>
        <w:t>;</w:t>
      </w:r>
      <w:r w:rsidRPr="00F314C1">
        <w:rPr>
          <w:rFonts w:asciiTheme="minorHAnsi" w:hAnsiTheme="minorHAnsi"/>
          <w:sz w:val="24"/>
          <w:szCs w:val="24"/>
        </w:rPr>
        <w:t xml:space="preserve"> nutrient content per gram of each food and beverage</w:t>
      </w:r>
      <w:r w:rsidR="003D76AD" w:rsidRPr="00F314C1">
        <w:rPr>
          <w:rFonts w:asciiTheme="minorHAnsi" w:hAnsiTheme="minorHAnsi"/>
          <w:sz w:val="24"/>
          <w:szCs w:val="24"/>
        </w:rPr>
        <w:t>;</w:t>
      </w:r>
      <w:r w:rsidRPr="00F314C1">
        <w:rPr>
          <w:rFonts w:asciiTheme="minorHAnsi" w:hAnsiTheme="minorHAnsi"/>
          <w:sz w:val="24"/>
          <w:szCs w:val="24"/>
        </w:rPr>
        <w:t xml:space="preserve"> nutrient intake of each participant from each </w:t>
      </w:r>
      <w:r w:rsidR="00382FC9" w:rsidRPr="00F314C1">
        <w:rPr>
          <w:rFonts w:asciiTheme="minorHAnsi" w:hAnsiTheme="minorHAnsi"/>
          <w:sz w:val="24"/>
          <w:szCs w:val="24"/>
        </w:rPr>
        <w:t xml:space="preserve">specific </w:t>
      </w:r>
      <w:r w:rsidRPr="00F314C1">
        <w:rPr>
          <w:rFonts w:asciiTheme="minorHAnsi" w:hAnsiTheme="minorHAnsi"/>
          <w:sz w:val="24"/>
          <w:szCs w:val="24"/>
        </w:rPr>
        <w:t>food and beverage</w:t>
      </w:r>
      <w:r w:rsidR="003D76AD" w:rsidRPr="00F314C1">
        <w:rPr>
          <w:rFonts w:asciiTheme="minorHAnsi" w:hAnsiTheme="minorHAnsi"/>
          <w:sz w:val="24"/>
          <w:szCs w:val="24"/>
        </w:rPr>
        <w:t>;</w:t>
      </w:r>
      <w:r w:rsidRPr="00F314C1">
        <w:rPr>
          <w:rFonts w:asciiTheme="minorHAnsi" w:hAnsiTheme="minorHAnsi"/>
          <w:sz w:val="24"/>
          <w:szCs w:val="24"/>
        </w:rPr>
        <w:t xml:space="preserve"> and total nutrient intake</w:t>
      </w:r>
      <w:r w:rsidR="001A2FD5" w:rsidRPr="00F314C1">
        <w:rPr>
          <w:rFonts w:asciiTheme="minorHAnsi" w:hAnsiTheme="minorHAnsi"/>
          <w:sz w:val="24"/>
          <w:szCs w:val="24"/>
        </w:rPr>
        <w:t xml:space="preserve"> of each participant</w:t>
      </w:r>
      <w:r w:rsidRPr="00F314C1">
        <w:rPr>
          <w:rFonts w:asciiTheme="minorHAnsi" w:hAnsiTheme="minorHAnsi"/>
          <w:sz w:val="24"/>
          <w:szCs w:val="24"/>
        </w:rPr>
        <w:t>.</w:t>
      </w:r>
      <w:r w:rsidR="001A2FD5" w:rsidRPr="00F314C1">
        <w:rPr>
          <w:rFonts w:asciiTheme="minorHAnsi" w:hAnsiTheme="minorHAnsi"/>
          <w:sz w:val="24"/>
          <w:szCs w:val="24"/>
        </w:rPr>
        <w:t xml:space="preserve"> </w:t>
      </w:r>
    </w:p>
    <w:p w14:paraId="64987FC6" w14:textId="62C4B507" w:rsidR="00DF5E3A" w:rsidRPr="00F314C1" w:rsidRDefault="007868AD" w:rsidP="00C379D4">
      <w:pPr>
        <w:jc w:val="both"/>
        <w:rPr>
          <w:rFonts w:asciiTheme="minorHAnsi" w:hAnsiTheme="minorHAnsi"/>
          <w:sz w:val="24"/>
          <w:szCs w:val="24"/>
        </w:rPr>
      </w:pPr>
      <w:r w:rsidRPr="00F314C1">
        <w:rPr>
          <w:rFonts w:asciiTheme="minorHAnsi" w:hAnsiTheme="minorHAnsi"/>
          <w:sz w:val="24"/>
          <w:szCs w:val="24"/>
        </w:rPr>
        <w:t>In total</w:t>
      </w:r>
      <w:r w:rsidR="00382FC9" w:rsidRPr="00F314C1">
        <w:rPr>
          <w:rFonts w:asciiTheme="minorHAnsi" w:hAnsiTheme="minorHAnsi"/>
          <w:sz w:val="24"/>
          <w:szCs w:val="24"/>
        </w:rPr>
        <w:t>,</w:t>
      </w:r>
      <w:r w:rsidRPr="00F314C1">
        <w:rPr>
          <w:rFonts w:asciiTheme="minorHAnsi" w:hAnsiTheme="minorHAnsi"/>
          <w:sz w:val="24"/>
          <w:szCs w:val="24"/>
        </w:rPr>
        <w:t xml:space="preserve"> the nutrient</w:t>
      </w:r>
      <w:r w:rsidR="000A79F1" w:rsidRPr="00F314C1">
        <w:rPr>
          <w:rFonts w:asciiTheme="minorHAnsi" w:hAnsiTheme="minorHAnsi"/>
          <w:sz w:val="24"/>
          <w:szCs w:val="24"/>
        </w:rPr>
        <w:t xml:space="preserve"> content</w:t>
      </w:r>
      <w:r w:rsidRPr="00F314C1">
        <w:rPr>
          <w:rFonts w:asciiTheme="minorHAnsi" w:hAnsiTheme="minorHAnsi"/>
          <w:sz w:val="24"/>
          <w:szCs w:val="24"/>
        </w:rPr>
        <w:t xml:space="preserve"> database contain</w:t>
      </w:r>
      <w:r w:rsidR="000A79F1" w:rsidRPr="00F314C1">
        <w:rPr>
          <w:rFonts w:asciiTheme="minorHAnsi" w:hAnsiTheme="minorHAnsi"/>
          <w:sz w:val="24"/>
          <w:szCs w:val="24"/>
        </w:rPr>
        <w:t>s</w:t>
      </w:r>
      <w:r w:rsidRPr="00F314C1">
        <w:rPr>
          <w:rFonts w:asciiTheme="minorHAnsi" w:hAnsiTheme="minorHAnsi"/>
          <w:sz w:val="24"/>
          <w:szCs w:val="24"/>
        </w:rPr>
        <w:t xml:space="preserve"> 238 distinct food items. The survey captured reported intake of many subsistence foods that are not included in standard nutrient content databases</w:t>
      </w:r>
      <w:r w:rsidR="00BA4AE7" w:rsidRPr="00F314C1">
        <w:rPr>
          <w:rFonts w:asciiTheme="minorHAnsi" w:hAnsiTheme="minorHAnsi"/>
          <w:sz w:val="24"/>
          <w:szCs w:val="24"/>
        </w:rPr>
        <w:t>;</w:t>
      </w:r>
      <w:r w:rsidRPr="00F314C1">
        <w:rPr>
          <w:rFonts w:asciiTheme="minorHAnsi" w:hAnsiTheme="minorHAnsi"/>
          <w:sz w:val="24"/>
          <w:szCs w:val="24"/>
        </w:rPr>
        <w:t xml:space="preserve"> in these cases</w:t>
      </w:r>
      <w:r w:rsidR="00FC102E">
        <w:rPr>
          <w:rFonts w:asciiTheme="minorHAnsi" w:hAnsiTheme="minorHAnsi"/>
          <w:sz w:val="24"/>
          <w:szCs w:val="24"/>
        </w:rPr>
        <w:t>,</w:t>
      </w:r>
      <w:r w:rsidRPr="00F314C1">
        <w:rPr>
          <w:rFonts w:asciiTheme="minorHAnsi" w:hAnsiTheme="minorHAnsi"/>
          <w:sz w:val="24"/>
          <w:szCs w:val="24"/>
        </w:rPr>
        <w:t xml:space="preserve"> substitutions were made </w:t>
      </w:r>
      <w:r w:rsidR="000A79F1" w:rsidRPr="00F314C1">
        <w:rPr>
          <w:rFonts w:asciiTheme="minorHAnsi" w:hAnsiTheme="minorHAnsi"/>
          <w:sz w:val="24"/>
          <w:szCs w:val="24"/>
        </w:rPr>
        <w:t xml:space="preserve">that </w:t>
      </w:r>
      <w:r w:rsidRPr="00F314C1">
        <w:rPr>
          <w:rFonts w:asciiTheme="minorHAnsi" w:hAnsiTheme="minorHAnsi"/>
          <w:sz w:val="24"/>
          <w:szCs w:val="24"/>
        </w:rPr>
        <w:t>matched the physiology and trophic level of the reported food item as closely as possible</w:t>
      </w:r>
      <w:r w:rsidR="00382FC9" w:rsidRPr="00F314C1">
        <w:rPr>
          <w:rFonts w:asciiTheme="minorHAnsi" w:hAnsiTheme="minorHAnsi"/>
          <w:sz w:val="24"/>
          <w:szCs w:val="24"/>
        </w:rPr>
        <w:t xml:space="preserve"> in order to calculate nutritional content</w:t>
      </w:r>
      <w:r w:rsidRPr="00F314C1">
        <w:rPr>
          <w:rFonts w:asciiTheme="minorHAnsi" w:hAnsiTheme="minorHAnsi"/>
          <w:sz w:val="24"/>
          <w:szCs w:val="24"/>
        </w:rPr>
        <w:t>.</w:t>
      </w:r>
      <w:r w:rsidR="001A2FD5" w:rsidRPr="00F314C1">
        <w:rPr>
          <w:rFonts w:asciiTheme="minorHAnsi" w:hAnsiTheme="minorHAnsi"/>
          <w:sz w:val="24"/>
          <w:szCs w:val="24"/>
        </w:rPr>
        <w:t xml:space="preserve"> </w:t>
      </w:r>
    </w:p>
    <w:p w14:paraId="64987FC7" w14:textId="2B2287C8" w:rsidR="007868AD" w:rsidRPr="00F314C1" w:rsidRDefault="007868AD" w:rsidP="00C379D4">
      <w:pPr>
        <w:jc w:val="both"/>
        <w:rPr>
          <w:rFonts w:asciiTheme="minorHAnsi" w:hAnsiTheme="minorHAnsi"/>
          <w:sz w:val="24"/>
          <w:szCs w:val="24"/>
        </w:rPr>
      </w:pPr>
      <w:r w:rsidRPr="00F314C1">
        <w:rPr>
          <w:rFonts w:asciiTheme="minorHAnsi" w:hAnsiTheme="minorHAnsi"/>
          <w:sz w:val="24"/>
          <w:szCs w:val="24"/>
        </w:rPr>
        <w:t xml:space="preserve">Data </w:t>
      </w:r>
      <w:r w:rsidR="000A79F1" w:rsidRPr="00F314C1">
        <w:rPr>
          <w:rFonts w:asciiTheme="minorHAnsi" w:hAnsiTheme="minorHAnsi"/>
          <w:sz w:val="24"/>
          <w:szCs w:val="24"/>
        </w:rPr>
        <w:t xml:space="preserve">were </w:t>
      </w:r>
      <w:r w:rsidR="001A2FD5" w:rsidRPr="00F314C1">
        <w:rPr>
          <w:rFonts w:asciiTheme="minorHAnsi" w:hAnsiTheme="minorHAnsi"/>
          <w:sz w:val="24"/>
          <w:szCs w:val="24"/>
        </w:rPr>
        <w:t xml:space="preserve">further </w:t>
      </w:r>
      <w:r w:rsidRPr="00F314C1">
        <w:rPr>
          <w:rFonts w:asciiTheme="minorHAnsi" w:hAnsiTheme="minorHAnsi"/>
          <w:sz w:val="24"/>
          <w:szCs w:val="24"/>
        </w:rPr>
        <w:t xml:space="preserve">analyzed to rank food by total amount consumed and </w:t>
      </w:r>
      <w:r w:rsidR="000A79F1" w:rsidRPr="00F314C1">
        <w:rPr>
          <w:rFonts w:asciiTheme="minorHAnsi" w:hAnsiTheme="minorHAnsi"/>
          <w:sz w:val="24"/>
          <w:szCs w:val="24"/>
        </w:rPr>
        <w:t>to estimate</w:t>
      </w:r>
      <w:r w:rsidRPr="00F314C1">
        <w:rPr>
          <w:rFonts w:asciiTheme="minorHAnsi" w:hAnsiTheme="minorHAnsi"/>
          <w:sz w:val="24"/>
          <w:szCs w:val="24"/>
        </w:rPr>
        <w:t xml:space="preserve"> the contribution of food to nutrient intakes. The study also ranks foods by</w:t>
      </w:r>
      <w:r w:rsidR="008A7552" w:rsidRPr="00F314C1">
        <w:rPr>
          <w:rFonts w:asciiTheme="minorHAnsi" w:hAnsiTheme="minorHAnsi"/>
          <w:sz w:val="24"/>
          <w:szCs w:val="24"/>
        </w:rPr>
        <w:t xml:space="preserve"> </w:t>
      </w:r>
      <w:r w:rsidR="00495549" w:rsidRPr="00F314C1">
        <w:rPr>
          <w:rFonts w:asciiTheme="minorHAnsi" w:hAnsiTheme="minorHAnsi"/>
          <w:sz w:val="24"/>
          <w:szCs w:val="24"/>
        </w:rPr>
        <w:t xml:space="preserve">the </w:t>
      </w:r>
      <w:r w:rsidR="008A7552" w:rsidRPr="00F314C1">
        <w:rPr>
          <w:rFonts w:asciiTheme="minorHAnsi" w:hAnsiTheme="minorHAnsi"/>
          <w:sz w:val="24"/>
          <w:szCs w:val="24"/>
        </w:rPr>
        <w:t xml:space="preserve">reported </w:t>
      </w:r>
      <w:r w:rsidRPr="00F314C1">
        <w:rPr>
          <w:rFonts w:asciiTheme="minorHAnsi" w:hAnsiTheme="minorHAnsi"/>
          <w:sz w:val="24"/>
          <w:szCs w:val="24"/>
        </w:rPr>
        <w:t xml:space="preserve">amount </w:t>
      </w:r>
      <w:r w:rsidR="00495549" w:rsidRPr="00F314C1">
        <w:rPr>
          <w:rFonts w:asciiTheme="minorHAnsi" w:hAnsiTheme="minorHAnsi"/>
          <w:sz w:val="24"/>
          <w:szCs w:val="24"/>
        </w:rPr>
        <w:t xml:space="preserve">of a particular food </w:t>
      </w:r>
      <w:r w:rsidRPr="00F314C1">
        <w:rPr>
          <w:rFonts w:asciiTheme="minorHAnsi" w:hAnsiTheme="minorHAnsi"/>
          <w:sz w:val="24"/>
          <w:szCs w:val="24"/>
        </w:rPr>
        <w:t xml:space="preserve">consumed in each region, the proportion of </w:t>
      </w:r>
      <w:r w:rsidR="0079726E" w:rsidRPr="00F314C1">
        <w:rPr>
          <w:rFonts w:asciiTheme="minorHAnsi" w:hAnsiTheme="minorHAnsi"/>
          <w:sz w:val="24"/>
          <w:szCs w:val="24"/>
        </w:rPr>
        <w:t xml:space="preserve">residents in each region who </w:t>
      </w:r>
      <w:r w:rsidR="00906881" w:rsidRPr="00F314C1">
        <w:rPr>
          <w:rFonts w:asciiTheme="minorHAnsi" w:hAnsiTheme="minorHAnsi"/>
          <w:sz w:val="24"/>
          <w:szCs w:val="24"/>
        </w:rPr>
        <w:t>ate</w:t>
      </w:r>
      <w:r w:rsidRPr="00F314C1">
        <w:rPr>
          <w:rFonts w:asciiTheme="minorHAnsi" w:hAnsiTheme="minorHAnsi"/>
          <w:sz w:val="24"/>
          <w:szCs w:val="24"/>
        </w:rPr>
        <w:t xml:space="preserve"> a particular food</w:t>
      </w:r>
      <w:r w:rsidR="000A79F1" w:rsidRPr="00F314C1">
        <w:rPr>
          <w:rFonts w:asciiTheme="minorHAnsi" w:hAnsiTheme="minorHAnsi"/>
          <w:sz w:val="24"/>
          <w:szCs w:val="24"/>
        </w:rPr>
        <w:t>,</w:t>
      </w:r>
      <w:r w:rsidRPr="00F314C1">
        <w:rPr>
          <w:rFonts w:asciiTheme="minorHAnsi" w:hAnsiTheme="minorHAnsi"/>
          <w:sz w:val="24"/>
          <w:szCs w:val="24"/>
        </w:rPr>
        <w:t xml:space="preserve"> and the median and maximum consumption of specific foods for individuals in each region.</w:t>
      </w:r>
    </w:p>
    <w:p w14:paraId="64987FC8" w14:textId="77777777" w:rsidR="00326219" w:rsidRPr="00F314C1" w:rsidRDefault="005F3F7E" w:rsidP="00C379D4">
      <w:pPr>
        <w:pStyle w:val="Heading4"/>
        <w:jc w:val="both"/>
        <w:rPr>
          <w:sz w:val="24"/>
          <w:szCs w:val="24"/>
        </w:rPr>
      </w:pPr>
      <w:r w:rsidRPr="00F314C1">
        <w:rPr>
          <w:sz w:val="24"/>
          <w:szCs w:val="24"/>
        </w:rPr>
        <w:t>Q</w:t>
      </w:r>
      <w:r w:rsidR="009654A9" w:rsidRPr="00F314C1">
        <w:rPr>
          <w:sz w:val="24"/>
          <w:szCs w:val="24"/>
        </w:rPr>
        <w:t>uality Assurance/Quality Control (QA/QC)</w:t>
      </w:r>
      <w:r w:rsidR="00046A23" w:rsidRPr="00F314C1">
        <w:rPr>
          <w:sz w:val="24"/>
          <w:szCs w:val="24"/>
        </w:rPr>
        <w:t xml:space="preserve"> Procedures</w:t>
      </w:r>
    </w:p>
    <w:p w14:paraId="64987FC9" w14:textId="10F21529" w:rsidR="005C508E" w:rsidRPr="00F314C1" w:rsidRDefault="005C508E" w:rsidP="00C379D4">
      <w:pPr>
        <w:jc w:val="both"/>
        <w:rPr>
          <w:rFonts w:asciiTheme="minorHAnsi" w:hAnsiTheme="minorHAnsi"/>
          <w:sz w:val="24"/>
          <w:szCs w:val="24"/>
        </w:rPr>
      </w:pPr>
      <w:r w:rsidRPr="00F314C1">
        <w:rPr>
          <w:rFonts w:asciiTheme="minorHAnsi" w:hAnsiTheme="minorHAnsi"/>
          <w:sz w:val="24"/>
          <w:szCs w:val="24"/>
        </w:rPr>
        <w:t>The Alaska Traditional Diet Project was approved by the Alaska Area Institutional Review Board</w:t>
      </w:r>
      <w:r w:rsidR="000A79F1" w:rsidRPr="00F314C1">
        <w:rPr>
          <w:rFonts w:asciiTheme="minorHAnsi" w:hAnsiTheme="minorHAnsi"/>
          <w:sz w:val="24"/>
          <w:szCs w:val="24"/>
        </w:rPr>
        <w:t xml:space="preserve"> and</w:t>
      </w:r>
      <w:r w:rsidRPr="00F314C1">
        <w:rPr>
          <w:rFonts w:asciiTheme="minorHAnsi" w:hAnsiTheme="minorHAnsi"/>
          <w:sz w:val="24"/>
          <w:szCs w:val="24"/>
        </w:rPr>
        <w:t xml:space="preserve"> the National Indian Health Service</w:t>
      </w:r>
      <w:r w:rsidR="000A79F1" w:rsidRPr="00F314C1">
        <w:rPr>
          <w:rFonts w:asciiTheme="minorHAnsi" w:hAnsiTheme="minorHAnsi"/>
          <w:sz w:val="24"/>
          <w:szCs w:val="24"/>
        </w:rPr>
        <w:t>,</w:t>
      </w:r>
      <w:r w:rsidRPr="00F314C1">
        <w:rPr>
          <w:rFonts w:asciiTheme="minorHAnsi" w:hAnsiTheme="minorHAnsi"/>
          <w:sz w:val="24"/>
          <w:szCs w:val="24"/>
        </w:rPr>
        <w:t xml:space="preserve"> and received village council resolutions in the 13 participating villages and the five Tribal Health Corporations</w:t>
      </w:r>
      <w:r w:rsidR="00547F4F" w:rsidRPr="00F314C1">
        <w:rPr>
          <w:rFonts w:asciiTheme="minorHAnsi" w:hAnsiTheme="minorHAnsi"/>
          <w:sz w:val="24"/>
          <w:szCs w:val="24"/>
        </w:rPr>
        <w:t xml:space="preserve"> to which the 13 villages belong. In addition, the project was guided by a broad Oversight Committee</w:t>
      </w:r>
      <w:r w:rsidR="000A79F1" w:rsidRPr="00F314C1">
        <w:rPr>
          <w:rFonts w:asciiTheme="minorHAnsi" w:hAnsiTheme="minorHAnsi"/>
          <w:sz w:val="24"/>
          <w:szCs w:val="24"/>
        </w:rPr>
        <w:t>,</w:t>
      </w:r>
      <w:r w:rsidR="00547F4F" w:rsidRPr="00F314C1">
        <w:rPr>
          <w:rFonts w:asciiTheme="minorHAnsi" w:hAnsiTheme="minorHAnsi"/>
          <w:sz w:val="24"/>
          <w:szCs w:val="24"/>
        </w:rPr>
        <w:t xml:space="preserve"> which provided operational advice and technical assistance.</w:t>
      </w:r>
      <w:r w:rsidRPr="00F314C1">
        <w:rPr>
          <w:rFonts w:asciiTheme="minorHAnsi" w:hAnsiTheme="minorHAnsi"/>
          <w:sz w:val="24"/>
          <w:szCs w:val="24"/>
        </w:rPr>
        <w:t xml:space="preserve"> </w:t>
      </w:r>
    </w:p>
    <w:p w14:paraId="64987FCA" w14:textId="3CA606C8" w:rsidR="00A85B03" w:rsidRPr="00F314C1" w:rsidRDefault="002C6CE3" w:rsidP="00C379D4">
      <w:pPr>
        <w:jc w:val="both"/>
        <w:rPr>
          <w:rFonts w:asciiTheme="minorHAnsi" w:hAnsiTheme="minorHAnsi"/>
          <w:sz w:val="24"/>
          <w:szCs w:val="24"/>
        </w:rPr>
      </w:pPr>
      <w:r w:rsidRPr="00F314C1">
        <w:rPr>
          <w:rFonts w:asciiTheme="minorHAnsi" w:hAnsiTheme="minorHAnsi"/>
          <w:sz w:val="24"/>
          <w:szCs w:val="24"/>
        </w:rPr>
        <w:t>The FFQ</w:t>
      </w:r>
      <w:r w:rsidR="0080070F" w:rsidRPr="00F314C1">
        <w:rPr>
          <w:rFonts w:asciiTheme="minorHAnsi" w:hAnsiTheme="minorHAnsi"/>
          <w:sz w:val="24"/>
          <w:szCs w:val="24"/>
        </w:rPr>
        <w:t xml:space="preserve"> </w:t>
      </w:r>
      <w:r w:rsidR="00ED04C2" w:rsidRPr="00F314C1">
        <w:rPr>
          <w:rFonts w:asciiTheme="minorHAnsi" w:hAnsiTheme="minorHAnsi"/>
          <w:sz w:val="24"/>
          <w:szCs w:val="24"/>
        </w:rPr>
        <w:t xml:space="preserve">was translated into Inupiaq and Central </w:t>
      </w:r>
      <w:proofErr w:type="spellStart"/>
      <w:r w:rsidR="00ED04C2" w:rsidRPr="00F314C1">
        <w:rPr>
          <w:rFonts w:asciiTheme="minorHAnsi" w:hAnsiTheme="minorHAnsi"/>
          <w:sz w:val="24"/>
          <w:szCs w:val="24"/>
        </w:rPr>
        <w:t>Yup’ik</w:t>
      </w:r>
      <w:proofErr w:type="spellEnd"/>
      <w:r w:rsidR="00ED04C2" w:rsidRPr="00F314C1">
        <w:rPr>
          <w:rFonts w:asciiTheme="minorHAnsi" w:hAnsiTheme="minorHAnsi"/>
          <w:sz w:val="24"/>
          <w:szCs w:val="24"/>
        </w:rPr>
        <w:t xml:space="preserve"> and back into English by native speakers </w:t>
      </w:r>
      <w:r w:rsidR="000A79F1" w:rsidRPr="00F314C1">
        <w:rPr>
          <w:rFonts w:asciiTheme="minorHAnsi" w:hAnsiTheme="minorHAnsi"/>
          <w:sz w:val="24"/>
          <w:szCs w:val="24"/>
        </w:rPr>
        <w:t>to preserve meaning</w:t>
      </w:r>
      <w:r w:rsidR="00ED04C2" w:rsidRPr="00F314C1">
        <w:rPr>
          <w:rFonts w:asciiTheme="minorHAnsi" w:hAnsiTheme="minorHAnsi"/>
          <w:sz w:val="24"/>
          <w:szCs w:val="24"/>
        </w:rPr>
        <w:t>. Many interviewers were bilingual or utilized bilingual assistants.</w:t>
      </w:r>
    </w:p>
    <w:p w14:paraId="64987FCB" w14:textId="49B518C2" w:rsidR="00A85B03" w:rsidRPr="00F314C1" w:rsidRDefault="00ED04C2" w:rsidP="00C379D4">
      <w:pPr>
        <w:jc w:val="both"/>
        <w:rPr>
          <w:rFonts w:asciiTheme="minorHAnsi" w:hAnsiTheme="minorHAnsi"/>
          <w:sz w:val="24"/>
          <w:szCs w:val="24"/>
        </w:rPr>
      </w:pPr>
      <w:r w:rsidRPr="00F314C1">
        <w:rPr>
          <w:rFonts w:asciiTheme="minorHAnsi" w:hAnsiTheme="minorHAnsi"/>
          <w:sz w:val="24"/>
          <w:szCs w:val="24"/>
        </w:rPr>
        <w:t>The questionnai</w:t>
      </w:r>
      <w:r w:rsidR="009654A9" w:rsidRPr="00F314C1">
        <w:rPr>
          <w:rFonts w:asciiTheme="minorHAnsi" w:hAnsiTheme="minorHAnsi"/>
          <w:sz w:val="24"/>
          <w:szCs w:val="24"/>
        </w:rPr>
        <w:t>res received a QA</w:t>
      </w:r>
      <w:r w:rsidRPr="00F314C1">
        <w:rPr>
          <w:rFonts w:asciiTheme="minorHAnsi" w:hAnsiTheme="minorHAnsi"/>
          <w:sz w:val="24"/>
          <w:szCs w:val="24"/>
        </w:rPr>
        <w:t xml:space="preserve"> review for completeness and </w:t>
      </w:r>
      <w:r w:rsidR="005A7594" w:rsidRPr="00F314C1">
        <w:rPr>
          <w:rFonts w:asciiTheme="minorHAnsi" w:hAnsiTheme="minorHAnsi"/>
          <w:sz w:val="24"/>
          <w:szCs w:val="24"/>
        </w:rPr>
        <w:t>consistency;</w:t>
      </w:r>
      <w:r w:rsidR="001215D3" w:rsidRPr="00F314C1">
        <w:rPr>
          <w:rFonts w:asciiTheme="minorHAnsi" w:hAnsiTheme="minorHAnsi"/>
          <w:sz w:val="24"/>
          <w:szCs w:val="24"/>
        </w:rPr>
        <w:t xml:space="preserve"> forms were then scanned into a database and verified </w:t>
      </w:r>
      <w:r w:rsidR="008D4534" w:rsidRPr="00F314C1">
        <w:rPr>
          <w:rFonts w:asciiTheme="minorHAnsi" w:hAnsiTheme="minorHAnsi"/>
          <w:sz w:val="24"/>
          <w:szCs w:val="24"/>
        </w:rPr>
        <w:t xml:space="preserve">by a registered </w:t>
      </w:r>
      <w:r w:rsidR="008B7353" w:rsidRPr="008B7353">
        <w:rPr>
          <w:rFonts w:asciiTheme="minorHAnsi" w:hAnsiTheme="minorHAnsi"/>
          <w:sz w:val="24"/>
          <w:szCs w:val="24"/>
        </w:rPr>
        <w:t>dietitian</w:t>
      </w:r>
      <w:r w:rsidR="001215D3" w:rsidRPr="00F314C1">
        <w:rPr>
          <w:rFonts w:asciiTheme="minorHAnsi" w:hAnsiTheme="minorHAnsi"/>
          <w:sz w:val="24"/>
          <w:szCs w:val="24"/>
        </w:rPr>
        <w:t xml:space="preserve">. </w:t>
      </w:r>
      <w:r w:rsidR="00436BF2" w:rsidRPr="00F314C1">
        <w:rPr>
          <w:rFonts w:asciiTheme="minorHAnsi" w:hAnsiTheme="minorHAnsi"/>
          <w:sz w:val="24"/>
          <w:szCs w:val="24"/>
        </w:rPr>
        <w:t>Also,</w:t>
      </w:r>
      <w:r w:rsidR="001215D3" w:rsidRPr="00F314C1">
        <w:rPr>
          <w:rFonts w:asciiTheme="minorHAnsi" w:hAnsiTheme="minorHAnsi"/>
          <w:sz w:val="24"/>
          <w:szCs w:val="24"/>
        </w:rPr>
        <w:t xml:space="preserve"> manual duplicate entry was performed on 10% of the questionnaires. An error rate of less than 1% was found on the scanned forms.</w:t>
      </w:r>
    </w:p>
    <w:p w14:paraId="64987FCC" w14:textId="77777777" w:rsidR="00326219" w:rsidRPr="00F314C1" w:rsidRDefault="00434245" w:rsidP="00C379D4">
      <w:pPr>
        <w:pStyle w:val="Heading4"/>
        <w:jc w:val="both"/>
        <w:rPr>
          <w:sz w:val="24"/>
          <w:szCs w:val="24"/>
        </w:rPr>
      </w:pPr>
      <w:r w:rsidRPr="00F314C1">
        <w:rPr>
          <w:sz w:val="24"/>
          <w:szCs w:val="24"/>
        </w:rPr>
        <w:t>Findings on Fish C</w:t>
      </w:r>
      <w:r w:rsidR="00326219" w:rsidRPr="00F314C1">
        <w:rPr>
          <w:sz w:val="24"/>
          <w:szCs w:val="24"/>
        </w:rPr>
        <w:t xml:space="preserve">onsumption </w:t>
      </w:r>
    </w:p>
    <w:p w14:paraId="64987FCD" w14:textId="703CD265" w:rsidR="0080070F" w:rsidRPr="00F314C1" w:rsidRDefault="009654A9" w:rsidP="00C379D4">
      <w:pPr>
        <w:jc w:val="both"/>
        <w:rPr>
          <w:rFonts w:asciiTheme="minorHAnsi" w:hAnsiTheme="minorHAnsi"/>
          <w:sz w:val="24"/>
          <w:szCs w:val="24"/>
        </w:rPr>
      </w:pPr>
      <w:r w:rsidRPr="00F314C1">
        <w:rPr>
          <w:rFonts w:asciiTheme="minorHAnsi" w:hAnsiTheme="minorHAnsi"/>
          <w:sz w:val="24"/>
          <w:szCs w:val="24"/>
        </w:rPr>
        <w:t>I</w:t>
      </w:r>
      <w:r w:rsidR="005A7594" w:rsidRPr="00F314C1">
        <w:rPr>
          <w:rFonts w:asciiTheme="minorHAnsi" w:hAnsiTheme="minorHAnsi"/>
          <w:sz w:val="24"/>
          <w:szCs w:val="24"/>
        </w:rPr>
        <w:t>n all five of the regions surveyed, at least one species of locally harvest</w:t>
      </w:r>
      <w:r w:rsidR="00436BF2" w:rsidRPr="00F314C1">
        <w:rPr>
          <w:rFonts w:asciiTheme="minorHAnsi" w:hAnsiTheme="minorHAnsi"/>
          <w:sz w:val="24"/>
          <w:szCs w:val="24"/>
        </w:rPr>
        <w:t>ed</w:t>
      </w:r>
      <w:r w:rsidR="005A7594" w:rsidRPr="00F314C1">
        <w:rPr>
          <w:rFonts w:asciiTheme="minorHAnsi" w:hAnsiTheme="minorHAnsi"/>
          <w:sz w:val="24"/>
          <w:szCs w:val="24"/>
        </w:rPr>
        <w:t xml:space="preserve"> fish was in the top 25 foods consumed </w:t>
      </w:r>
      <w:r w:rsidR="008D4534" w:rsidRPr="00F314C1">
        <w:rPr>
          <w:rFonts w:asciiTheme="minorHAnsi" w:hAnsiTheme="minorHAnsi"/>
          <w:sz w:val="24"/>
          <w:szCs w:val="24"/>
        </w:rPr>
        <w:t>(</w:t>
      </w:r>
      <w:r w:rsidR="005A7594" w:rsidRPr="00F314C1">
        <w:rPr>
          <w:rFonts w:asciiTheme="minorHAnsi" w:hAnsiTheme="minorHAnsi"/>
          <w:sz w:val="24"/>
          <w:szCs w:val="24"/>
        </w:rPr>
        <w:t>in terms of aggregate total pounds</w:t>
      </w:r>
      <w:r w:rsidR="008D4534" w:rsidRPr="00F314C1">
        <w:rPr>
          <w:rFonts w:asciiTheme="minorHAnsi" w:hAnsiTheme="minorHAnsi"/>
          <w:sz w:val="24"/>
          <w:szCs w:val="24"/>
        </w:rPr>
        <w:t>)</w:t>
      </w:r>
      <w:r w:rsidR="005A7594" w:rsidRPr="00F314C1">
        <w:rPr>
          <w:rFonts w:asciiTheme="minorHAnsi" w:hAnsiTheme="minorHAnsi"/>
          <w:sz w:val="24"/>
          <w:szCs w:val="24"/>
        </w:rPr>
        <w:t xml:space="preserve">. The types of fish reported </w:t>
      </w:r>
      <w:r w:rsidR="008A7552" w:rsidRPr="00F314C1">
        <w:rPr>
          <w:rFonts w:asciiTheme="minorHAnsi" w:hAnsiTheme="minorHAnsi"/>
          <w:sz w:val="24"/>
          <w:szCs w:val="24"/>
        </w:rPr>
        <w:t xml:space="preserve">by survey participants </w:t>
      </w:r>
      <w:r w:rsidR="00D41405" w:rsidRPr="00F314C1">
        <w:rPr>
          <w:rFonts w:asciiTheme="minorHAnsi" w:hAnsiTheme="minorHAnsi"/>
          <w:sz w:val="24"/>
          <w:szCs w:val="24"/>
        </w:rPr>
        <w:t xml:space="preserve">to be eaten most </w:t>
      </w:r>
      <w:r w:rsidR="005A7594" w:rsidRPr="00F314C1">
        <w:rPr>
          <w:rFonts w:asciiTheme="minorHAnsi" w:hAnsiTheme="minorHAnsi"/>
          <w:sz w:val="24"/>
          <w:szCs w:val="24"/>
        </w:rPr>
        <w:t>varied by region</w:t>
      </w:r>
      <w:r w:rsidR="008A7552" w:rsidRPr="00F314C1">
        <w:rPr>
          <w:rFonts w:asciiTheme="minorHAnsi" w:hAnsiTheme="minorHAnsi"/>
          <w:sz w:val="24"/>
          <w:szCs w:val="24"/>
        </w:rPr>
        <w:t>.</w:t>
      </w:r>
      <w:r w:rsidR="005A7594" w:rsidRPr="00F314C1">
        <w:rPr>
          <w:rFonts w:asciiTheme="minorHAnsi" w:hAnsiTheme="minorHAnsi"/>
          <w:sz w:val="24"/>
          <w:szCs w:val="24"/>
        </w:rPr>
        <w:t xml:space="preserve"> </w:t>
      </w:r>
      <w:r w:rsidR="00495549" w:rsidRPr="00F314C1">
        <w:rPr>
          <w:rFonts w:asciiTheme="minorHAnsi" w:hAnsiTheme="minorHAnsi"/>
          <w:sz w:val="24"/>
          <w:szCs w:val="24"/>
        </w:rPr>
        <w:t>The types</w:t>
      </w:r>
      <w:r w:rsidR="008A7552" w:rsidRPr="00F314C1">
        <w:rPr>
          <w:rFonts w:asciiTheme="minorHAnsi" w:hAnsiTheme="minorHAnsi"/>
          <w:sz w:val="24"/>
          <w:szCs w:val="24"/>
        </w:rPr>
        <w:t xml:space="preserve"> are reported using their “common” </w:t>
      </w:r>
      <w:r w:rsidR="008A7552" w:rsidRPr="00F314C1">
        <w:rPr>
          <w:rFonts w:asciiTheme="minorHAnsi" w:hAnsiTheme="minorHAnsi"/>
          <w:sz w:val="24"/>
          <w:szCs w:val="24"/>
        </w:rPr>
        <w:lastRenderedPageBreak/>
        <w:t>names and include</w:t>
      </w:r>
      <w:r w:rsidR="00CB1445" w:rsidRPr="00F314C1">
        <w:rPr>
          <w:rFonts w:asciiTheme="minorHAnsi" w:hAnsiTheme="minorHAnsi"/>
          <w:sz w:val="24"/>
          <w:szCs w:val="24"/>
        </w:rPr>
        <w:t>:</w:t>
      </w:r>
      <w:r w:rsidR="005A7594" w:rsidRPr="00F314C1">
        <w:rPr>
          <w:rFonts w:asciiTheme="minorHAnsi" w:hAnsiTheme="minorHAnsi"/>
          <w:sz w:val="24"/>
          <w:szCs w:val="24"/>
        </w:rPr>
        <w:t xml:space="preserve"> Herring, Red Salmon</w:t>
      </w:r>
      <w:r w:rsidR="00B673F2" w:rsidRPr="00F314C1">
        <w:rPr>
          <w:rFonts w:asciiTheme="minorHAnsi" w:hAnsiTheme="minorHAnsi"/>
          <w:sz w:val="24"/>
          <w:szCs w:val="24"/>
        </w:rPr>
        <w:t xml:space="preserve"> (sockeye)</w:t>
      </w:r>
      <w:r w:rsidR="005A7594" w:rsidRPr="00F314C1">
        <w:rPr>
          <w:rFonts w:asciiTheme="minorHAnsi" w:hAnsiTheme="minorHAnsi"/>
          <w:sz w:val="24"/>
          <w:szCs w:val="24"/>
        </w:rPr>
        <w:t>, White Salmon</w:t>
      </w:r>
      <w:r w:rsidR="00B673F2" w:rsidRPr="00F314C1">
        <w:rPr>
          <w:rFonts w:asciiTheme="minorHAnsi" w:hAnsiTheme="minorHAnsi"/>
          <w:sz w:val="24"/>
          <w:szCs w:val="24"/>
        </w:rPr>
        <w:t xml:space="preserve"> (chinook)</w:t>
      </w:r>
      <w:r w:rsidR="005A7594" w:rsidRPr="00F314C1">
        <w:rPr>
          <w:rFonts w:asciiTheme="minorHAnsi" w:hAnsiTheme="minorHAnsi"/>
          <w:sz w:val="24"/>
          <w:szCs w:val="24"/>
        </w:rPr>
        <w:t>, King Salmon</w:t>
      </w:r>
      <w:r w:rsidR="00B673F2" w:rsidRPr="00F314C1">
        <w:rPr>
          <w:rFonts w:asciiTheme="minorHAnsi" w:hAnsiTheme="minorHAnsi"/>
          <w:sz w:val="24"/>
          <w:szCs w:val="24"/>
        </w:rPr>
        <w:t xml:space="preserve"> (chinook)</w:t>
      </w:r>
      <w:r w:rsidR="005A7594" w:rsidRPr="00F314C1">
        <w:rPr>
          <w:rFonts w:asciiTheme="minorHAnsi" w:hAnsiTheme="minorHAnsi"/>
          <w:sz w:val="24"/>
          <w:szCs w:val="24"/>
        </w:rPr>
        <w:t>, Chum Salmon, Whitefish</w:t>
      </w:r>
      <w:r w:rsidR="00B2061C" w:rsidRPr="00F314C1">
        <w:rPr>
          <w:rFonts w:asciiTheme="minorHAnsi" w:hAnsiTheme="minorHAnsi"/>
          <w:sz w:val="24"/>
          <w:szCs w:val="24"/>
        </w:rPr>
        <w:t>,</w:t>
      </w:r>
      <w:r w:rsidR="005A7594" w:rsidRPr="00F314C1">
        <w:rPr>
          <w:rFonts w:asciiTheme="minorHAnsi" w:hAnsiTheme="minorHAnsi"/>
          <w:sz w:val="24"/>
          <w:szCs w:val="24"/>
        </w:rPr>
        <w:t xml:space="preserve"> and Silver Salmon</w:t>
      </w:r>
      <w:r w:rsidR="00B673F2" w:rsidRPr="00F314C1">
        <w:rPr>
          <w:rFonts w:asciiTheme="minorHAnsi" w:hAnsiTheme="minorHAnsi"/>
          <w:sz w:val="24"/>
          <w:szCs w:val="24"/>
        </w:rPr>
        <w:t xml:space="preserve"> (</w:t>
      </w:r>
      <w:proofErr w:type="spellStart"/>
      <w:r w:rsidR="00B673F2" w:rsidRPr="00F314C1">
        <w:rPr>
          <w:rFonts w:asciiTheme="minorHAnsi" w:hAnsiTheme="minorHAnsi"/>
          <w:sz w:val="24"/>
          <w:szCs w:val="24"/>
        </w:rPr>
        <w:t>coho</w:t>
      </w:r>
      <w:proofErr w:type="spellEnd"/>
      <w:r w:rsidR="00B673F2" w:rsidRPr="00F314C1">
        <w:rPr>
          <w:rFonts w:asciiTheme="minorHAnsi" w:hAnsiTheme="minorHAnsi"/>
          <w:sz w:val="24"/>
          <w:szCs w:val="24"/>
        </w:rPr>
        <w:t>)</w:t>
      </w:r>
      <w:r w:rsidR="005A7594" w:rsidRPr="00F314C1">
        <w:rPr>
          <w:rFonts w:asciiTheme="minorHAnsi" w:hAnsiTheme="minorHAnsi"/>
          <w:sz w:val="24"/>
          <w:szCs w:val="24"/>
        </w:rPr>
        <w:t>.</w:t>
      </w:r>
      <w:r w:rsidR="008D4534" w:rsidRPr="00F314C1">
        <w:rPr>
          <w:rFonts w:asciiTheme="minorHAnsi" w:hAnsiTheme="minorHAnsi"/>
          <w:sz w:val="24"/>
          <w:szCs w:val="24"/>
        </w:rPr>
        <w:t xml:space="preserve"> </w:t>
      </w:r>
      <w:r w:rsidRPr="00F314C1">
        <w:rPr>
          <w:rFonts w:asciiTheme="minorHAnsi" w:hAnsiTheme="minorHAnsi"/>
          <w:sz w:val="24"/>
          <w:szCs w:val="24"/>
        </w:rPr>
        <w:t>Overall</w:t>
      </w:r>
      <w:r w:rsidR="00B2061C" w:rsidRPr="00F314C1">
        <w:rPr>
          <w:rFonts w:asciiTheme="minorHAnsi" w:hAnsiTheme="minorHAnsi"/>
          <w:sz w:val="24"/>
          <w:szCs w:val="24"/>
        </w:rPr>
        <w:t>,</w:t>
      </w:r>
      <w:r w:rsidRPr="00F314C1">
        <w:rPr>
          <w:rFonts w:asciiTheme="minorHAnsi" w:hAnsiTheme="minorHAnsi"/>
          <w:sz w:val="24"/>
          <w:szCs w:val="24"/>
        </w:rPr>
        <w:t xml:space="preserve"> the results indicated fish and seafood </w:t>
      </w:r>
      <w:r w:rsidR="00495549" w:rsidRPr="00F314C1">
        <w:rPr>
          <w:rFonts w:asciiTheme="minorHAnsi" w:hAnsiTheme="minorHAnsi"/>
          <w:sz w:val="24"/>
          <w:szCs w:val="24"/>
        </w:rPr>
        <w:t xml:space="preserve">comprise a significant amount of </w:t>
      </w:r>
      <w:r w:rsidRPr="00F314C1">
        <w:rPr>
          <w:rFonts w:asciiTheme="minorHAnsi" w:hAnsiTheme="minorHAnsi"/>
          <w:sz w:val="24"/>
          <w:szCs w:val="24"/>
        </w:rPr>
        <w:t>the participants’ diet</w:t>
      </w:r>
      <w:r w:rsidR="00495549" w:rsidRPr="00F314C1">
        <w:rPr>
          <w:rFonts w:asciiTheme="minorHAnsi" w:hAnsiTheme="minorHAnsi"/>
          <w:sz w:val="24"/>
          <w:szCs w:val="24"/>
        </w:rPr>
        <w:t>ary intake</w:t>
      </w:r>
      <w:r w:rsidRPr="00F314C1">
        <w:rPr>
          <w:rFonts w:asciiTheme="minorHAnsi" w:hAnsiTheme="minorHAnsi"/>
          <w:sz w:val="24"/>
          <w:szCs w:val="24"/>
        </w:rPr>
        <w:t>.</w:t>
      </w:r>
    </w:p>
    <w:p w14:paraId="64987FCE" w14:textId="31CCFD8C" w:rsidR="00D41405" w:rsidRPr="00F314C1" w:rsidRDefault="00D41405" w:rsidP="00C379D4">
      <w:pPr>
        <w:jc w:val="both"/>
        <w:rPr>
          <w:rFonts w:asciiTheme="minorHAnsi" w:hAnsiTheme="minorHAnsi"/>
          <w:sz w:val="24"/>
          <w:szCs w:val="24"/>
        </w:rPr>
      </w:pPr>
      <w:r w:rsidRPr="00F314C1">
        <w:rPr>
          <w:rFonts w:asciiTheme="minorHAnsi" w:hAnsiTheme="minorHAnsi"/>
          <w:sz w:val="24"/>
          <w:szCs w:val="24"/>
        </w:rPr>
        <w:t xml:space="preserve">The study also </w:t>
      </w:r>
      <w:r w:rsidR="001F10D8" w:rsidRPr="00F314C1">
        <w:rPr>
          <w:rFonts w:asciiTheme="minorHAnsi" w:hAnsiTheme="minorHAnsi"/>
          <w:sz w:val="24"/>
          <w:szCs w:val="24"/>
        </w:rPr>
        <w:t xml:space="preserve">included an </w:t>
      </w:r>
      <w:r w:rsidRPr="00F314C1">
        <w:rPr>
          <w:rFonts w:asciiTheme="minorHAnsi" w:hAnsiTheme="minorHAnsi"/>
          <w:sz w:val="24"/>
          <w:szCs w:val="24"/>
        </w:rPr>
        <w:t xml:space="preserve">analysis of subsistence food consumption in median </w:t>
      </w:r>
      <w:r w:rsidR="00FA3456" w:rsidRPr="00F314C1">
        <w:rPr>
          <w:rFonts w:asciiTheme="minorHAnsi" w:hAnsiTheme="minorHAnsi"/>
          <w:sz w:val="24"/>
          <w:szCs w:val="24"/>
        </w:rPr>
        <w:t xml:space="preserve">and maximum </w:t>
      </w:r>
      <w:r w:rsidRPr="00F314C1">
        <w:rPr>
          <w:rFonts w:asciiTheme="minorHAnsi" w:hAnsiTheme="minorHAnsi"/>
          <w:sz w:val="24"/>
          <w:szCs w:val="24"/>
        </w:rPr>
        <w:t xml:space="preserve">pounds per person for each region. </w:t>
      </w:r>
      <w:r w:rsidR="00317BEF" w:rsidRPr="00F314C1">
        <w:rPr>
          <w:rFonts w:asciiTheme="minorHAnsi" w:hAnsiTheme="minorHAnsi"/>
          <w:sz w:val="24"/>
          <w:szCs w:val="24"/>
        </w:rPr>
        <w:t>This analysis highlighted vast differences in individual consumption</w:t>
      </w:r>
      <w:r w:rsidR="002C6CE3" w:rsidRPr="00F314C1">
        <w:rPr>
          <w:rFonts w:asciiTheme="minorHAnsi" w:hAnsiTheme="minorHAnsi"/>
          <w:sz w:val="24"/>
          <w:szCs w:val="24"/>
        </w:rPr>
        <w:t xml:space="preserve"> of subsistence foods</w:t>
      </w:r>
      <w:r w:rsidR="00317BEF" w:rsidRPr="00F314C1">
        <w:rPr>
          <w:rFonts w:asciiTheme="minorHAnsi" w:hAnsiTheme="minorHAnsi"/>
          <w:sz w:val="24"/>
          <w:szCs w:val="24"/>
        </w:rPr>
        <w:t xml:space="preserve">, even within the same health corporation. For </w:t>
      </w:r>
      <w:r w:rsidR="001F10D8" w:rsidRPr="00F314C1">
        <w:rPr>
          <w:rFonts w:asciiTheme="minorHAnsi" w:hAnsiTheme="minorHAnsi"/>
          <w:sz w:val="24"/>
          <w:szCs w:val="24"/>
        </w:rPr>
        <w:t>example</w:t>
      </w:r>
      <w:r w:rsidR="00317BEF" w:rsidRPr="00F314C1">
        <w:rPr>
          <w:rFonts w:asciiTheme="minorHAnsi" w:hAnsiTheme="minorHAnsi"/>
          <w:sz w:val="24"/>
          <w:szCs w:val="24"/>
        </w:rPr>
        <w:t xml:space="preserve">, results </w:t>
      </w:r>
      <w:r w:rsidR="00171673" w:rsidRPr="00F314C1">
        <w:rPr>
          <w:rFonts w:asciiTheme="minorHAnsi" w:hAnsiTheme="minorHAnsi"/>
          <w:sz w:val="24"/>
          <w:szCs w:val="24"/>
        </w:rPr>
        <w:t xml:space="preserve">from the YKHC </w:t>
      </w:r>
      <w:r w:rsidR="00317BEF" w:rsidRPr="00F314C1">
        <w:rPr>
          <w:rFonts w:asciiTheme="minorHAnsi" w:hAnsiTheme="minorHAnsi"/>
          <w:sz w:val="24"/>
          <w:szCs w:val="24"/>
        </w:rPr>
        <w:t xml:space="preserve">show that 98% of respondents </w:t>
      </w:r>
      <w:r w:rsidR="001F10D8" w:rsidRPr="00F314C1">
        <w:rPr>
          <w:rFonts w:asciiTheme="minorHAnsi" w:hAnsiTheme="minorHAnsi"/>
          <w:sz w:val="24"/>
          <w:szCs w:val="24"/>
        </w:rPr>
        <w:t xml:space="preserve">consumed </w:t>
      </w:r>
      <w:r w:rsidR="00317BEF" w:rsidRPr="00F314C1">
        <w:rPr>
          <w:rFonts w:asciiTheme="minorHAnsi" w:hAnsiTheme="minorHAnsi"/>
          <w:sz w:val="24"/>
          <w:szCs w:val="24"/>
        </w:rPr>
        <w:t>dried King Salmon, with a median yearly</w:t>
      </w:r>
      <w:r w:rsidR="00171673" w:rsidRPr="00F314C1">
        <w:rPr>
          <w:rFonts w:asciiTheme="minorHAnsi" w:hAnsiTheme="minorHAnsi"/>
          <w:sz w:val="24"/>
          <w:szCs w:val="24"/>
        </w:rPr>
        <w:t xml:space="preserve"> per-person</w:t>
      </w:r>
      <w:r w:rsidR="00317BEF" w:rsidRPr="00F314C1">
        <w:rPr>
          <w:rFonts w:asciiTheme="minorHAnsi" w:hAnsiTheme="minorHAnsi"/>
          <w:sz w:val="24"/>
          <w:szCs w:val="24"/>
        </w:rPr>
        <w:t xml:space="preserve"> intake of 19 </w:t>
      </w:r>
      <w:r w:rsidR="00096125" w:rsidRPr="00F314C1">
        <w:rPr>
          <w:rFonts w:asciiTheme="minorHAnsi" w:hAnsiTheme="minorHAnsi"/>
          <w:sz w:val="24"/>
          <w:szCs w:val="24"/>
        </w:rPr>
        <w:t xml:space="preserve">pounds </w:t>
      </w:r>
      <w:r w:rsidR="00317BEF" w:rsidRPr="00F314C1">
        <w:rPr>
          <w:rFonts w:asciiTheme="minorHAnsi" w:hAnsiTheme="minorHAnsi"/>
          <w:sz w:val="24"/>
          <w:szCs w:val="24"/>
        </w:rPr>
        <w:t>and a maximum yearly</w:t>
      </w:r>
      <w:r w:rsidR="00171673" w:rsidRPr="00F314C1">
        <w:rPr>
          <w:rFonts w:asciiTheme="minorHAnsi" w:hAnsiTheme="minorHAnsi"/>
          <w:sz w:val="24"/>
          <w:szCs w:val="24"/>
        </w:rPr>
        <w:t xml:space="preserve"> per-person</w:t>
      </w:r>
      <w:r w:rsidR="00317BEF" w:rsidRPr="00F314C1">
        <w:rPr>
          <w:rFonts w:asciiTheme="minorHAnsi" w:hAnsiTheme="minorHAnsi"/>
          <w:sz w:val="24"/>
          <w:szCs w:val="24"/>
        </w:rPr>
        <w:t xml:space="preserve"> intake of 611 </w:t>
      </w:r>
      <w:r w:rsidR="00096125" w:rsidRPr="00F314C1">
        <w:rPr>
          <w:rFonts w:asciiTheme="minorHAnsi" w:hAnsiTheme="minorHAnsi"/>
          <w:sz w:val="24"/>
          <w:szCs w:val="24"/>
        </w:rPr>
        <w:t>pounds</w:t>
      </w:r>
      <w:r w:rsidR="00317BEF" w:rsidRPr="00F314C1">
        <w:rPr>
          <w:rFonts w:asciiTheme="minorHAnsi" w:hAnsiTheme="minorHAnsi"/>
          <w:sz w:val="24"/>
          <w:szCs w:val="24"/>
        </w:rPr>
        <w:t>.</w:t>
      </w:r>
      <w:r w:rsidR="00F90056" w:rsidRPr="00F314C1">
        <w:rPr>
          <w:rFonts w:asciiTheme="minorHAnsi" w:hAnsiTheme="minorHAnsi"/>
          <w:sz w:val="24"/>
          <w:szCs w:val="24"/>
        </w:rPr>
        <w:t xml:space="preserve"> </w:t>
      </w:r>
      <w:r w:rsidRPr="00F314C1">
        <w:rPr>
          <w:rFonts w:asciiTheme="minorHAnsi" w:hAnsiTheme="minorHAnsi"/>
          <w:sz w:val="24"/>
          <w:szCs w:val="24"/>
        </w:rPr>
        <w:t>In all five regions</w:t>
      </w:r>
      <w:r w:rsidR="001F10D8" w:rsidRPr="00F314C1">
        <w:rPr>
          <w:rFonts w:asciiTheme="minorHAnsi" w:hAnsiTheme="minorHAnsi"/>
          <w:sz w:val="24"/>
          <w:szCs w:val="24"/>
        </w:rPr>
        <w:t>,</w:t>
      </w:r>
      <w:r w:rsidRPr="00F314C1">
        <w:rPr>
          <w:rFonts w:asciiTheme="minorHAnsi" w:hAnsiTheme="minorHAnsi"/>
          <w:sz w:val="24"/>
          <w:szCs w:val="24"/>
        </w:rPr>
        <w:t xml:space="preserve"> fish were a prominent part of the </w:t>
      </w:r>
      <w:r w:rsidR="00C97036" w:rsidRPr="00F314C1">
        <w:rPr>
          <w:rFonts w:asciiTheme="minorHAnsi" w:hAnsiTheme="minorHAnsi"/>
          <w:sz w:val="24"/>
          <w:szCs w:val="24"/>
        </w:rPr>
        <w:t>dietary intake</w:t>
      </w:r>
      <w:r w:rsidRPr="00F314C1">
        <w:rPr>
          <w:rFonts w:asciiTheme="minorHAnsi" w:hAnsiTheme="minorHAnsi"/>
          <w:sz w:val="24"/>
          <w:szCs w:val="24"/>
        </w:rPr>
        <w:t>. In most regions</w:t>
      </w:r>
      <w:r w:rsidR="001F10D8" w:rsidRPr="00F314C1">
        <w:rPr>
          <w:rFonts w:asciiTheme="minorHAnsi" w:hAnsiTheme="minorHAnsi"/>
          <w:sz w:val="24"/>
          <w:szCs w:val="24"/>
        </w:rPr>
        <w:t>,</w:t>
      </w:r>
      <w:r w:rsidRPr="00F314C1">
        <w:rPr>
          <w:rFonts w:asciiTheme="minorHAnsi" w:hAnsiTheme="minorHAnsi"/>
          <w:sz w:val="24"/>
          <w:szCs w:val="24"/>
        </w:rPr>
        <w:t xml:space="preserve"> </w:t>
      </w:r>
      <w:r w:rsidR="00C97036" w:rsidRPr="00F314C1">
        <w:rPr>
          <w:rFonts w:asciiTheme="minorHAnsi" w:hAnsiTheme="minorHAnsi"/>
          <w:sz w:val="24"/>
          <w:szCs w:val="24"/>
        </w:rPr>
        <w:t xml:space="preserve">participants reported that </w:t>
      </w:r>
      <w:r w:rsidRPr="00F314C1">
        <w:rPr>
          <w:rFonts w:asciiTheme="minorHAnsi" w:hAnsiTheme="minorHAnsi"/>
          <w:sz w:val="24"/>
          <w:szCs w:val="24"/>
        </w:rPr>
        <w:t xml:space="preserve">multiple species of locally harvested fish </w:t>
      </w:r>
      <w:r w:rsidR="00C97036" w:rsidRPr="00F314C1">
        <w:rPr>
          <w:rFonts w:asciiTheme="minorHAnsi" w:hAnsiTheme="minorHAnsi"/>
          <w:sz w:val="24"/>
          <w:szCs w:val="24"/>
        </w:rPr>
        <w:t xml:space="preserve">were </w:t>
      </w:r>
      <w:r w:rsidRPr="00F314C1">
        <w:rPr>
          <w:rFonts w:asciiTheme="minorHAnsi" w:hAnsiTheme="minorHAnsi"/>
          <w:sz w:val="24"/>
          <w:szCs w:val="24"/>
        </w:rPr>
        <w:t>prepared in a variety</w:t>
      </w:r>
      <w:r w:rsidR="008D4534" w:rsidRPr="00F314C1">
        <w:rPr>
          <w:rFonts w:asciiTheme="minorHAnsi" w:hAnsiTheme="minorHAnsi"/>
          <w:sz w:val="24"/>
          <w:szCs w:val="24"/>
        </w:rPr>
        <w:t xml:space="preserve"> </w:t>
      </w:r>
      <w:r w:rsidRPr="00F314C1">
        <w:rPr>
          <w:rFonts w:asciiTheme="minorHAnsi" w:hAnsiTheme="minorHAnsi"/>
          <w:sz w:val="24"/>
          <w:szCs w:val="24"/>
        </w:rPr>
        <w:t>of ways.</w:t>
      </w:r>
      <w:r w:rsidR="008D4534" w:rsidRPr="00F314C1">
        <w:rPr>
          <w:rFonts w:asciiTheme="minorHAnsi" w:hAnsiTheme="minorHAnsi"/>
          <w:sz w:val="24"/>
          <w:szCs w:val="24"/>
        </w:rPr>
        <w:t xml:space="preserve"> In all regions, at least two thirds of participants reported consuming several species of fish in the previous 12 months.</w:t>
      </w:r>
    </w:p>
    <w:p w14:paraId="64987FCF" w14:textId="427A7263" w:rsidR="005F3F7E" w:rsidRPr="00F314C1" w:rsidRDefault="00434245" w:rsidP="00C379D4">
      <w:pPr>
        <w:pStyle w:val="Heading4"/>
        <w:keepNext/>
        <w:jc w:val="both"/>
        <w:rPr>
          <w:sz w:val="24"/>
          <w:szCs w:val="24"/>
        </w:rPr>
      </w:pPr>
      <w:r w:rsidRPr="00F314C1">
        <w:rPr>
          <w:sz w:val="24"/>
          <w:szCs w:val="24"/>
        </w:rPr>
        <w:t>Applicability of the D</w:t>
      </w:r>
      <w:r w:rsidR="005F3F7E" w:rsidRPr="00F314C1">
        <w:rPr>
          <w:sz w:val="24"/>
          <w:szCs w:val="24"/>
        </w:rPr>
        <w:t xml:space="preserve">ata </w:t>
      </w:r>
      <w:r w:rsidRPr="00F314C1">
        <w:rPr>
          <w:sz w:val="24"/>
          <w:szCs w:val="24"/>
        </w:rPr>
        <w:t>for use in D</w:t>
      </w:r>
      <w:r w:rsidR="005F3F7E" w:rsidRPr="00F314C1">
        <w:rPr>
          <w:sz w:val="24"/>
          <w:szCs w:val="24"/>
        </w:rPr>
        <w:t xml:space="preserve">etermining </w:t>
      </w:r>
      <w:r w:rsidR="007F6D08" w:rsidRPr="00F314C1">
        <w:rPr>
          <w:sz w:val="24"/>
          <w:szCs w:val="24"/>
        </w:rPr>
        <w:t>FCR</w:t>
      </w:r>
      <w:r w:rsidR="00E77537" w:rsidRPr="00F314C1">
        <w:rPr>
          <w:sz w:val="24"/>
          <w:szCs w:val="24"/>
        </w:rPr>
        <w:t>s</w:t>
      </w:r>
    </w:p>
    <w:p w14:paraId="64987FD0" w14:textId="3792D939" w:rsidR="00436BF2" w:rsidRPr="00F314C1" w:rsidRDefault="00FA3456" w:rsidP="00C379D4">
      <w:pPr>
        <w:keepNext/>
        <w:jc w:val="both"/>
        <w:rPr>
          <w:rFonts w:asciiTheme="minorHAnsi" w:hAnsiTheme="minorHAnsi"/>
          <w:sz w:val="24"/>
          <w:szCs w:val="24"/>
        </w:rPr>
      </w:pPr>
      <w:r w:rsidRPr="00F314C1">
        <w:rPr>
          <w:rFonts w:asciiTheme="minorHAnsi" w:hAnsiTheme="minorHAnsi"/>
          <w:sz w:val="24"/>
          <w:szCs w:val="24"/>
        </w:rPr>
        <w:t xml:space="preserve">This survey </w:t>
      </w:r>
      <w:r w:rsidR="000D35C0" w:rsidRPr="00F314C1">
        <w:rPr>
          <w:rFonts w:asciiTheme="minorHAnsi" w:hAnsiTheme="minorHAnsi"/>
          <w:sz w:val="24"/>
          <w:szCs w:val="24"/>
        </w:rPr>
        <w:t>serves as a useful</w:t>
      </w:r>
      <w:r w:rsidR="008D4534" w:rsidRPr="00F314C1">
        <w:rPr>
          <w:rFonts w:asciiTheme="minorHAnsi" w:hAnsiTheme="minorHAnsi"/>
          <w:sz w:val="24"/>
          <w:szCs w:val="24"/>
        </w:rPr>
        <w:t xml:space="preserve"> resource for</w:t>
      </w:r>
      <w:r w:rsidR="000D35C0" w:rsidRPr="00F314C1">
        <w:rPr>
          <w:rFonts w:asciiTheme="minorHAnsi" w:hAnsiTheme="minorHAnsi"/>
          <w:sz w:val="24"/>
          <w:szCs w:val="24"/>
        </w:rPr>
        <w:t xml:space="preserve"> supporting the</w:t>
      </w:r>
      <w:r w:rsidR="008D4534" w:rsidRPr="00F314C1">
        <w:rPr>
          <w:rFonts w:asciiTheme="minorHAnsi" w:hAnsiTheme="minorHAnsi"/>
          <w:sz w:val="24"/>
          <w:szCs w:val="24"/>
        </w:rPr>
        <w:t xml:space="preserve"> determin</w:t>
      </w:r>
      <w:r w:rsidR="000D35C0" w:rsidRPr="00F314C1">
        <w:rPr>
          <w:rFonts w:asciiTheme="minorHAnsi" w:hAnsiTheme="minorHAnsi"/>
          <w:sz w:val="24"/>
          <w:szCs w:val="24"/>
        </w:rPr>
        <w:t>ation of</w:t>
      </w:r>
      <w:r w:rsidR="008D4534" w:rsidRPr="00F314C1">
        <w:rPr>
          <w:rFonts w:asciiTheme="minorHAnsi" w:hAnsiTheme="minorHAnsi"/>
          <w:sz w:val="24"/>
          <w:szCs w:val="24"/>
        </w:rPr>
        <w:t xml:space="preserve"> </w:t>
      </w:r>
      <w:r w:rsidR="007F6D08" w:rsidRPr="00F314C1">
        <w:rPr>
          <w:rFonts w:asciiTheme="minorHAnsi" w:hAnsiTheme="minorHAnsi"/>
          <w:sz w:val="24"/>
          <w:szCs w:val="24"/>
        </w:rPr>
        <w:t>FCR</w:t>
      </w:r>
      <w:r w:rsidR="008D4534" w:rsidRPr="00F314C1">
        <w:rPr>
          <w:rFonts w:asciiTheme="minorHAnsi" w:hAnsiTheme="minorHAnsi"/>
          <w:sz w:val="24"/>
          <w:szCs w:val="24"/>
        </w:rPr>
        <w:t xml:space="preserve">s because </w:t>
      </w:r>
      <w:r w:rsidR="000C3F6C" w:rsidRPr="00F314C1">
        <w:rPr>
          <w:rFonts w:asciiTheme="minorHAnsi" w:hAnsiTheme="minorHAnsi"/>
          <w:sz w:val="24"/>
          <w:szCs w:val="24"/>
        </w:rPr>
        <w:t xml:space="preserve">individual level </w:t>
      </w:r>
      <w:r w:rsidR="008D4534" w:rsidRPr="00F314C1">
        <w:rPr>
          <w:rFonts w:asciiTheme="minorHAnsi" w:hAnsiTheme="minorHAnsi"/>
          <w:sz w:val="24"/>
          <w:szCs w:val="24"/>
        </w:rPr>
        <w:t xml:space="preserve">data </w:t>
      </w:r>
      <w:r w:rsidR="000C3F6C" w:rsidRPr="00F314C1">
        <w:rPr>
          <w:rFonts w:asciiTheme="minorHAnsi" w:hAnsiTheme="minorHAnsi"/>
          <w:sz w:val="24"/>
          <w:szCs w:val="24"/>
        </w:rPr>
        <w:t>on median and maximum</w:t>
      </w:r>
      <w:r w:rsidR="008D4534" w:rsidRPr="00F314C1">
        <w:rPr>
          <w:rFonts w:asciiTheme="minorHAnsi" w:hAnsiTheme="minorHAnsi"/>
          <w:sz w:val="24"/>
          <w:szCs w:val="24"/>
        </w:rPr>
        <w:t xml:space="preserve"> fish consumption is provided in pounds for a number of different species of fish. </w:t>
      </w:r>
      <w:r w:rsidR="000C3F6C" w:rsidRPr="00F314C1">
        <w:rPr>
          <w:rFonts w:asciiTheme="minorHAnsi" w:hAnsiTheme="minorHAnsi"/>
          <w:sz w:val="24"/>
          <w:szCs w:val="24"/>
        </w:rPr>
        <w:t xml:space="preserve">The </w:t>
      </w:r>
      <w:r w:rsidR="000D35C0" w:rsidRPr="00F314C1">
        <w:rPr>
          <w:rFonts w:asciiTheme="minorHAnsi" w:hAnsiTheme="minorHAnsi"/>
          <w:sz w:val="24"/>
          <w:szCs w:val="24"/>
        </w:rPr>
        <w:t xml:space="preserve">reported </w:t>
      </w:r>
      <w:r w:rsidR="000C3F6C" w:rsidRPr="00F314C1">
        <w:rPr>
          <w:rFonts w:asciiTheme="minorHAnsi" w:hAnsiTheme="minorHAnsi"/>
          <w:sz w:val="24"/>
          <w:szCs w:val="24"/>
        </w:rPr>
        <w:t xml:space="preserve">maximum consumption </w:t>
      </w:r>
      <w:r w:rsidR="000D35C0" w:rsidRPr="00F314C1">
        <w:rPr>
          <w:rFonts w:asciiTheme="minorHAnsi" w:hAnsiTheme="minorHAnsi"/>
          <w:sz w:val="24"/>
          <w:szCs w:val="24"/>
        </w:rPr>
        <w:t xml:space="preserve">values </w:t>
      </w:r>
      <w:r w:rsidR="000C3F6C" w:rsidRPr="00F314C1">
        <w:rPr>
          <w:rFonts w:asciiTheme="minorHAnsi" w:hAnsiTheme="minorHAnsi"/>
          <w:sz w:val="24"/>
          <w:szCs w:val="24"/>
        </w:rPr>
        <w:t xml:space="preserve">are particularly </w:t>
      </w:r>
      <w:r w:rsidR="00171673" w:rsidRPr="00F314C1">
        <w:rPr>
          <w:rFonts w:asciiTheme="minorHAnsi" w:hAnsiTheme="minorHAnsi"/>
          <w:sz w:val="24"/>
          <w:szCs w:val="24"/>
        </w:rPr>
        <w:t>important</w:t>
      </w:r>
      <w:r w:rsidR="000C3F6C" w:rsidRPr="00F314C1">
        <w:rPr>
          <w:rFonts w:asciiTheme="minorHAnsi" w:hAnsiTheme="minorHAnsi"/>
          <w:sz w:val="24"/>
          <w:szCs w:val="24"/>
        </w:rPr>
        <w:t xml:space="preserve"> because they provide a conservative estimate of con</w:t>
      </w:r>
      <w:r w:rsidR="0062557F" w:rsidRPr="00F314C1">
        <w:rPr>
          <w:rFonts w:asciiTheme="minorHAnsi" w:hAnsiTheme="minorHAnsi"/>
          <w:sz w:val="24"/>
          <w:szCs w:val="24"/>
        </w:rPr>
        <w:t>sumption for individuals in each</w:t>
      </w:r>
      <w:r w:rsidR="000C3F6C" w:rsidRPr="00F314C1">
        <w:rPr>
          <w:rFonts w:asciiTheme="minorHAnsi" w:hAnsiTheme="minorHAnsi"/>
          <w:sz w:val="24"/>
          <w:szCs w:val="24"/>
        </w:rPr>
        <w:t xml:space="preserve"> region. The</w:t>
      </w:r>
      <w:r w:rsidR="00436BF2" w:rsidRPr="00F314C1">
        <w:rPr>
          <w:rFonts w:asciiTheme="minorHAnsi" w:hAnsiTheme="minorHAnsi"/>
          <w:sz w:val="24"/>
          <w:szCs w:val="24"/>
        </w:rPr>
        <w:t xml:space="preserve"> survey</w:t>
      </w:r>
      <w:r w:rsidR="000C3F6C" w:rsidRPr="00F314C1">
        <w:rPr>
          <w:rFonts w:asciiTheme="minorHAnsi" w:hAnsiTheme="minorHAnsi"/>
          <w:sz w:val="24"/>
          <w:szCs w:val="24"/>
        </w:rPr>
        <w:t xml:space="preserve"> findings </w:t>
      </w:r>
      <w:r w:rsidR="00436BF2" w:rsidRPr="00F314C1">
        <w:rPr>
          <w:rFonts w:asciiTheme="minorHAnsi" w:hAnsiTheme="minorHAnsi"/>
          <w:sz w:val="24"/>
          <w:szCs w:val="24"/>
        </w:rPr>
        <w:t xml:space="preserve">also </w:t>
      </w:r>
      <w:r w:rsidR="000C3F6C" w:rsidRPr="00F314C1">
        <w:rPr>
          <w:rFonts w:asciiTheme="minorHAnsi" w:hAnsiTheme="minorHAnsi"/>
          <w:sz w:val="24"/>
          <w:szCs w:val="24"/>
        </w:rPr>
        <w:t>demonstrate the</w:t>
      </w:r>
      <w:r w:rsidR="00317BEF" w:rsidRPr="00F314C1">
        <w:rPr>
          <w:rFonts w:asciiTheme="minorHAnsi" w:hAnsiTheme="minorHAnsi"/>
          <w:sz w:val="24"/>
          <w:szCs w:val="24"/>
        </w:rPr>
        <w:t xml:space="preserve"> regional and individual differences in fish consumption among several Alaska Native communities</w:t>
      </w:r>
      <w:r w:rsidR="000C3F6C" w:rsidRPr="00F314C1">
        <w:rPr>
          <w:rFonts w:asciiTheme="minorHAnsi" w:hAnsiTheme="minorHAnsi"/>
          <w:sz w:val="24"/>
          <w:szCs w:val="24"/>
        </w:rPr>
        <w:t xml:space="preserve">. </w:t>
      </w:r>
    </w:p>
    <w:p w14:paraId="64987FD1" w14:textId="3F246D80" w:rsidR="00A85B03" w:rsidRPr="00F314C1" w:rsidRDefault="00436BF2" w:rsidP="00C379D4">
      <w:pPr>
        <w:jc w:val="both"/>
        <w:rPr>
          <w:rFonts w:asciiTheme="minorHAnsi" w:hAnsiTheme="minorHAnsi"/>
          <w:sz w:val="24"/>
          <w:szCs w:val="24"/>
        </w:rPr>
      </w:pPr>
      <w:r w:rsidRPr="00F314C1">
        <w:rPr>
          <w:rFonts w:asciiTheme="minorHAnsi" w:hAnsiTheme="minorHAnsi"/>
          <w:sz w:val="24"/>
          <w:szCs w:val="24"/>
        </w:rPr>
        <w:t xml:space="preserve">A </w:t>
      </w:r>
      <w:r w:rsidR="000C3F6C" w:rsidRPr="00F314C1">
        <w:rPr>
          <w:rFonts w:asciiTheme="minorHAnsi" w:hAnsiTheme="minorHAnsi"/>
          <w:sz w:val="24"/>
          <w:szCs w:val="24"/>
        </w:rPr>
        <w:t xml:space="preserve">limitation of this study is that only a </w:t>
      </w:r>
      <w:r w:rsidR="00BD5510" w:rsidRPr="00F314C1">
        <w:rPr>
          <w:rFonts w:asciiTheme="minorHAnsi" w:hAnsiTheme="minorHAnsi"/>
          <w:sz w:val="24"/>
          <w:szCs w:val="24"/>
        </w:rPr>
        <w:t>single interview was conducted</w:t>
      </w:r>
      <w:r w:rsidR="000D35C0" w:rsidRPr="00F314C1">
        <w:rPr>
          <w:rFonts w:asciiTheme="minorHAnsi" w:hAnsiTheme="minorHAnsi"/>
          <w:sz w:val="24"/>
          <w:szCs w:val="24"/>
        </w:rPr>
        <w:t xml:space="preserve"> with each participant</w:t>
      </w:r>
      <w:r w:rsidR="00BD5510" w:rsidRPr="00F314C1">
        <w:rPr>
          <w:rFonts w:asciiTheme="minorHAnsi" w:hAnsiTheme="minorHAnsi"/>
          <w:sz w:val="24"/>
          <w:szCs w:val="24"/>
        </w:rPr>
        <w:t>. During the interview</w:t>
      </w:r>
      <w:r w:rsidR="000D35C0" w:rsidRPr="00F314C1">
        <w:rPr>
          <w:rFonts w:asciiTheme="minorHAnsi" w:hAnsiTheme="minorHAnsi"/>
          <w:sz w:val="24"/>
          <w:szCs w:val="24"/>
        </w:rPr>
        <w:t>,</w:t>
      </w:r>
      <w:r w:rsidR="000C3F6C" w:rsidRPr="00F314C1">
        <w:rPr>
          <w:rFonts w:asciiTheme="minorHAnsi" w:hAnsiTheme="minorHAnsi"/>
          <w:sz w:val="24"/>
          <w:szCs w:val="24"/>
        </w:rPr>
        <w:t xml:space="preserve"> participants were asked to recall their dietary habits for the previous 12 </w:t>
      </w:r>
      <w:r w:rsidR="00BD5510" w:rsidRPr="00F314C1">
        <w:rPr>
          <w:rFonts w:asciiTheme="minorHAnsi" w:hAnsiTheme="minorHAnsi"/>
          <w:sz w:val="24"/>
          <w:szCs w:val="24"/>
        </w:rPr>
        <w:t xml:space="preserve">months, which could result in </w:t>
      </w:r>
      <w:r w:rsidR="000D35C0" w:rsidRPr="00F314C1">
        <w:rPr>
          <w:rFonts w:asciiTheme="minorHAnsi" w:hAnsiTheme="minorHAnsi"/>
          <w:sz w:val="24"/>
          <w:szCs w:val="24"/>
        </w:rPr>
        <w:t xml:space="preserve">incomplete or </w:t>
      </w:r>
      <w:r w:rsidR="00BD5510" w:rsidRPr="00F314C1">
        <w:rPr>
          <w:rFonts w:asciiTheme="minorHAnsi" w:hAnsiTheme="minorHAnsi"/>
          <w:sz w:val="24"/>
          <w:szCs w:val="24"/>
        </w:rPr>
        <w:t xml:space="preserve">inaccurate reporting due to the long recall period. </w:t>
      </w:r>
      <w:r w:rsidR="00317BEF" w:rsidRPr="00F314C1">
        <w:rPr>
          <w:rFonts w:asciiTheme="minorHAnsi" w:hAnsiTheme="minorHAnsi"/>
          <w:sz w:val="24"/>
          <w:szCs w:val="24"/>
        </w:rPr>
        <w:t xml:space="preserve">The long recall period can also impact information reported on </w:t>
      </w:r>
      <w:r w:rsidR="0062557F" w:rsidRPr="00F314C1">
        <w:rPr>
          <w:rFonts w:asciiTheme="minorHAnsi" w:hAnsiTheme="minorHAnsi"/>
          <w:sz w:val="24"/>
          <w:szCs w:val="24"/>
        </w:rPr>
        <w:t>seasonal fluctuations in diet</w:t>
      </w:r>
      <w:r w:rsidR="00001419" w:rsidRPr="00F314C1">
        <w:rPr>
          <w:rFonts w:asciiTheme="minorHAnsi" w:hAnsiTheme="minorHAnsi"/>
          <w:sz w:val="24"/>
          <w:szCs w:val="24"/>
        </w:rPr>
        <w:t>,</w:t>
      </w:r>
      <w:r w:rsidR="0062557F" w:rsidRPr="00F314C1">
        <w:rPr>
          <w:rFonts w:asciiTheme="minorHAnsi" w:hAnsiTheme="minorHAnsi"/>
          <w:sz w:val="24"/>
          <w:szCs w:val="24"/>
        </w:rPr>
        <w:t xml:space="preserve"> </w:t>
      </w:r>
      <w:r w:rsidR="00C4662D" w:rsidRPr="00F314C1">
        <w:rPr>
          <w:rFonts w:asciiTheme="minorHAnsi" w:hAnsiTheme="minorHAnsi"/>
          <w:sz w:val="24"/>
          <w:szCs w:val="24"/>
        </w:rPr>
        <w:t>thereby potentially</w:t>
      </w:r>
      <w:r w:rsidR="00001419" w:rsidRPr="00F314C1">
        <w:rPr>
          <w:rFonts w:asciiTheme="minorHAnsi" w:hAnsiTheme="minorHAnsi"/>
          <w:sz w:val="24"/>
          <w:szCs w:val="24"/>
        </w:rPr>
        <w:t xml:space="preserve"> </w:t>
      </w:r>
      <w:r w:rsidR="00C4662D" w:rsidRPr="00F314C1">
        <w:rPr>
          <w:rFonts w:asciiTheme="minorHAnsi" w:hAnsiTheme="minorHAnsi"/>
          <w:sz w:val="24"/>
          <w:szCs w:val="24"/>
        </w:rPr>
        <w:t xml:space="preserve">obscuring </w:t>
      </w:r>
      <w:r w:rsidR="0062557F" w:rsidRPr="00F314C1">
        <w:rPr>
          <w:rFonts w:asciiTheme="minorHAnsi" w:hAnsiTheme="minorHAnsi"/>
          <w:sz w:val="24"/>
          <w:szCs w:val="24"/>
        </w:rPr>
        <w:t>important data relat</w:t>
      </w:r>
      <w:r w:rsidR="00906881" w:rsidRPr="00F314C1">
        <w:rPr>
          <w:rFonts w:asciiTheme="minorHAnsi" w:hAnsiTheme="minorHAnsi"/>
          <w:sz w:val="24"/>
          <w:szCs w:val="24"/>
        </w:rPr>
        <w:t>ed to short term increases in fish consumption</w:t>
      </w:r>
      <w:r w:rsidR="0062557F" w:rsidRPr="00F314C1">
        <w:rPr>
          <w:rFonts w:asciiTheme="minorHAnsi" w:hAnsiTheme="minorHAnsi"/>
          <w:sz w:val="24"/>
          <w:szCs w:val="24"/>
        </w:rPr>
        <w:t>.</w:t>
      </w:r>
      <w:r w:rsidR="008B7353">
        <w:rPr>
          <w:rFonts w:asciiTheme="minorHAnsi" w:hAnsiTheme="minorHAnsi"/>
          <w:sz w:val="24"/>
          <w:szCs w:val="24"/>
        </w:rPr>
        <w:t xml:space="preserve"> There also may be concern about the exceptionally high rates of consumption assigned to certain foods. This may be attributed to interpretation and/or confusion on the part of the interviewees and/or interviewers. </w:t>
      </w:r>
    </w:p>
    <w:p w14:paraId="64987FD2" w14:textId="2027ADF7" w:rsidR="00C557C5" w:rsidRPr="00F314C1" w:rsidRDefault="00C557C5" w:rsidP="00C379D4">
      <w:pPr>
        <w:pStyle w:val="Heading2"/>
        <w:keepNext w:val="0"/>
        <w:spacing w:before="0" w:after="60"/>
        <w:jc w:val="both"/>
        <w:rPr>
          <w:szCs w:val="24"/>
        </w:rPr>
      </w:pPr>
      <w:bookmarkStart w:id="34" w:name="_Toc390121650"/>
      <w:r w:rsidRPr="00F314C1">
        <w:rPr>
          <w:szCs w:val="24"/>
        </w:rPr>
        <w:t xml:space="preserve">Evaluation of Seafood and Plant Data Collected from Cook Inlet near the Native Villages of Port Graham, </w:t>
      </w:r>
      <w:proofErr w:type="spellStart"/>
      <w:r w:rsidRPr="00F314C1">
        <w:rPr>
          <w:szCs w:val="24"/>
        </w:rPr>
        <w:t>Nanwal</w:t>
      </w:r>
      <w:r w:rsidR="00457732" w:rsidRPr="00F314C1">
        <w:rPr>
          <w:szCs w:val="24"/>
        </w:rPr>
        <w:t>ek</w:t>
      </w:r>
      <w:proofErr w:type="spellEnd"/>
      <w:r w:rsidRPr="00F314C1">
        <w:rPr>
          <w:szCs w:val="24"/>
        </w:rPr>
        <w:t xml:space="preserve">, </w:t>
      </w:r>
      <w:proofErr w:type="spellStart"/>
      <w:r w:rsidRPr="00F314C1">
        <w:rPr>
          <w:szCs w:val="24"/>
        </w:rPr>
        <w:t>Seldovia</w:t>
      </w:r>
      <w:proofErr w:type="spellEnd"/>
      <w:r w:rsidR="001E5D88" w:rsidRPr="00F314C1">
        <w:rPr>
          <w:szCs w:val="24"/>
        </w:rPr>
        <w:t>,</w:t>
      </w:r>
      <w:r w:rsidRPr="00F314C1">
        <w:rPr>
          <w:szCs w:val="24"/>
        </w:rPr>
        <w:t xml:space="preserve"> and </w:t>
      </w:r>
      <w:proofErr w:type="spellStart"/>
      <w:r w:rsidRPr="00F314C1">
        <w:rPr>
          <w:szCs w:val="24"/>
        </w:rPr>
        <w:t>Tyonek</w:t>
      </w:r>
      <w:proofErr w:type="spellEnd"/>
      <w:r w:rsidRPr="00F314C1">
        <w:rPr>
          <w:szCs w:val="24"/>
        </w:rPr>
        <w:t>, Alaska.</w:t>
      </w:r>
      <w:bookmarkEnd w:id="34"/>
    </w:p>
    <w:p w14:paraId="64987FD4" w14:textId="2E990438" w:rsidR="00C557C5" w:rsidRPr="00F314C1" w:rsidRDefault="00457732" w:rsidP="00C379D4">
      <w:pPr>
        <w:pStyle w:val="Heading3"/>
        <w:spacing w:before="0" w:after="60"/>
        <w:jc w:val="both"/>
        <w:rPr>
          <w:sz w:val="24"/>
          <w:szCs w:val="24"/>
        </w:rPr>
      </w:pPr>
      <w:bookmarkStart w:id="35" w:name="_Toc390121651"/>
      <w:r w:rsidRPr="00F314C1">
        <w:rPr>
          <w:sz w:val="24"/>
          <w:szCs w:val="24"/>
        </w:rPr>
        <w:t xml:space="preserve">U.S. </w:t>
      </w:r>
      <w:r w:rsidR="00C557C5" w:rsidRPr="00F314C1">
        <w:rPr>
          <w:sz w:val="24"/>
          <w:szCs w:val="24"/>
        </w:rPr>
        <w:t>Agency for Toxic Substances and Disease Registry, Division of Health Assessment and Consultation</w:t>
      </w:r>
      <w:bookmarkEnd w:id="35"/>
      <w:r w:rsidR="00284FB9" w:rsidRPr="00F314C1">
        <w:rPr>
          <w:sz w:val="24"/>
          <w:szCs w:val="24"/>
        </w:rPr>
        <w:t xml:space="preserve">, </w:t>
      </w:r>
      <w:bookmarkStart w:id="36" w:name="_Toc390121652"/>
      <w:r w:rsidR="00C557C5" w:rsidRPr="00F314C1">
        <w:rPr>
          <w:sz w:val="24"/>
          <w:szCs w:val="24"/>
        </w:rPr>
        <w:t>2009</w:t>
      </w:r>
      <w:bookmarkEnd w:id="36"/>
    </w:p>
    <w:p w14:paraId="64987FD5" w14:textId="77777777" w:rsidR="00F902B6" w:rsidRPr="00F314C1" w:rsidRDefault="00F902B6" w:rsidP="00C379D4">
      <w:pPr>
        <w:pStyle w:val="Heading4"/>
        <w:jc w:val="both"/>
        <w:rPr>
          <w:sz w:val="24"/>
          <w:szCs w:val="24"/>
        </w:rPr>
      </w:pPr>
      <w:r w:rsidRPr="00F314C1">
        <w:rPr>
          <w:sz w:val="24"/>
          <w:szCs w:val="24"/>
        </w:rPr>
        <w:t xml:space="preserve">General Information </w:t>
      </w:r>
    </w:p>
    <w:p w14:paraId="64987FD6" w14:textId="410AC771" w:rsidR="004D40EE" w:rsidRPr="00F314C1" w:rsidRDefault="004D40EE" w:rsidP="00C379D4">
      <w:pPr>
        <w:jc w:val="both"/>
        <w:rPr>
          <w:rFonts w:asciiTheme="minorHAnsi" w:hAnsiTheme="minorHAnsi"/>
          <w:sz w:val="24"/>
          <w:szCs w:val="24"/>
        </w:rPr>
      </w:pPr>
      <w:r w:rsidRPr="00F314C1">
        <w:rPr>
          <w:rFonts w:asciiTheme="minorHAnsi" w:hAnsiTheme="minorHAnsi"/>
          <w:sz w:val="24"/>
          <w:szCs w:val="24"/>
        </w:rPr>
        <w:t xml:space="preserve">The Native Villages of Port Graham, </w:t>
      </w:r>
      <w:proofErr w:type="spellStart"/>
      <w:r w:rsidRPr="00F314C1">
        <w:rPr>
          <w:rFonts w:asciiTheme="minorHAnsi" w:hAnsiTheme="minorHAnsi"/>
          <w:sz w:val="24"/>
          <w:szCs w:val="24"/>
        </w:rPr>
        <w:t>Nanwalek</w:t>
      </w:r>
      <w:proofErr w:type="spellEnd"/>
      <w:r w:rsidRPr="00F314C1">
        <w:rPr>
          <w:rFonts w:asciiTheme="minorHAnsi" w:hAnsiTheme="minorHAnsi"/>
          <w:sz w:val="24"/>
          <w:szCs w:val="24"/>
        </w:rPr>
        <w:t xml:space="preserve">, </w:t>
      </w:r>
      <w:proofErr w:type="spellStart"/>
      <w:r w:rsidRPr="00F314C1">
        <w:rPr>
          <w:rFonts w:asciiTheme="minorHAnsi" w:hAnsiTheme="minorHAnsi"/>
          <w:sz w:val="24"/>
          <w:szCs w:val="24"/>
        </w:rPr>
        <w:t>Seldovia</w:t>
      </w:r>
      <w:proofErr w:type="spellEnd"/>
      <w:r w:rsidRPr="00F314C1">
        <w:rPr>
          <w:rFonts w:asciiTheme="minorHAnsi" w:hAnsiTheme="minorHAnsi"/>
          <w:sz w:val="24"/>
          <w:szCs w:val="24"/>
        </w:rPr>
        <w:t xml:space="preserve">, and </w:t>
      </w:r>
      <w:proofErr w:type="spellStart"/>
      <w:r w:rsidRPr="00F314C1">
        <w:rPr>
          <w:rFonts w:asciiTheme="minorHAnsi" w:hAnsiTheme="minorHAnsi"/>
          <w:sz w:val="24"/>
          <w:szCs w:val="24"/>
        </w:rPr>
        <w:t>Tyonek</w:t>
      </w:r>
      <w:proofErr w:type="spellEnd"/>
      <w:r w:rsidRPr="00F314C1">
        <w:rPr>
          <w:rFonts w:asciiTheme="minorHAnsi" w:hAnsiTheme="minorHAnsi"/>
          <w:sz w:val="24"/>
          <w:szCs w:val="24"/>
        </w:rPr>
        <w:t xml:space="preserve"> requested assistance from ATSDR in 2003 to assess potential health effects from consumption of subsistence foods by residents of the Cook Inlet region</w:t>
      </w:r>
      <w:r w:rsidR="00F90056" w:rsidRPr="00F314C1">
        <w:rPr>
          <w:rFonts w:asciiTheme="minorHAnsi" w:hAnsiTheme="minorHAnsi"/>
          <w:sz w:val="24"/>
          <w:szCs w:val="24"/>
        </w:rPr>
        <w:t xml:space="preserve"> in </w:t>
      </w:r>
      <w:proofErr w:type="gramStart"/>
      <w:r w:rsidR="00C97036" w:rsidRPr="00F314C1">
        <w:rPr>
          <w:rFonts w:asciiTheme="minorHAnsi" w:hAnsiTheme="minorHAnsi"/>
          <w:sz w:val="24"/>
          <w:szCs w:val="24"/>
        </w:rPr>
        <w:t xml:space="preserve">Southcentral </w:t>
      </w:r>
      <w:r w:rsidR="00F90056" w:rsidRPr="00F314C1">
        <w:rPr>
          <w:rFonts w:asciiTheme="minorHAnsi" w:hAnsiTheme="minorHAnsi"/>
          <w:sz w:val="24"/>
          <w:szCs w:val="24"/>
        </w:rPr>
        <w:t xml:space="preserve"> Alaska</w:t>
      </w:r>
      <w:proofErr w:type="gramEnd"/>
      <w:r w:rsidRPr="00F314C1">
        <w:rPr>
          <w:rFonts w:asciiTheme="minorHAnsi" w:hAnsiTheme="minorHAnsi"/>
          <w:sz w:val="24"/>
          <w:szCs w:val="24"/>
        </w:rPr>
        <w:t xml:space="preserve">. Residents </w:t>
      </w:r>
      <w:r w:rsidR="00EA3537" w:rsidRPr="00F314C1">
        <w:rPr>
          <w:rFonts w:asciiTheme="minorHAnsi" w:hAnsiTheme="minorHAnsi"/>
          <w:sz w:val="24"/>
          <w:szCs w:val="24"/>
        </w:rPr>
        <w:t xml:space="preserve">had expressed </w:t>
      </w:r>
      <w:r w:rsidRPr="00F314C1">
        <w:rPr>
          <w:rFonts w:asciiTheme="minorHAnsi" w:hAnsiTheme="minorHAnsi"/>
          <w:sz w:val="24"/>
          <w:szCs w:val="24"/>
        </w:rPr>
        <w:t xml:space="preserve">concern that </w:t>
      </w:r>
      <w:r w:rsidRPr="00F314C1">
        <w:rPr>
          <w:rFonts w:asciiTheme="minorHAnsi" w:hAnsiTheme="minorHAnsi"/>
          <w:sz w:val="24"/>
          <w:szCs w:val="24"/>
        </w:rPr>
        <w:lastRenderedPageBreak/>
        <w:t xml:space="preserve">contaminants were potentially released from oil and gas operations into Cook Inlet in quantities that could be harmful to human health. </w:t>
      </w:r>
    </w:p>
    <w:p w14:paraId="64987FD7" w14:textId="094F1996" w:rsidR="000435B6" w:rsidRPr="00F314C1" w:rsidRDefault="00A23ED1" w:rsidP="00C379D4">
      <w:pPr>
        <w:jc w:val="both"/>
        <w:rPr>
          <w:rFonts w:asciiTheme="minorHAnsi" w:hAnsiTheme="minorHAnsi" w:cs="Times New Roman"/>
          <w:b/>
          <w:bCs/>
          <w:sz w:val="24"/>
          <w:szCs w:val="24"/>
        </w:rPr>
      </w:pPr>
      <w:r w:rsidRPr="00F314C1">
        <w:rPr>
          <w:rFonts w:asciiTheme="minorHAnsi" w:hAnsiTheme="minorHAnsi" w:cs="Times New Roman"/>
          <w:sz w:val="24"/>
          <w:szCs w:val="24"/>
        </w:rPr>
        <w:t xml:space="preserve">Following concerns expressed by village residents, the scope of the project was to expanded </w:t>
      </w:r>
      <w:r w:rsidR="00465BAA" w:rsidRPr="00F314C1">
        <w:rPr>
          <w:rFonts w:asciiTheme="minorHAnsi" w:hAnsiTheme="minorHAnsi" w:cs="Times New Roman"/>
          <w:sz w:val="24"/>
          <w:szCs w:val="24"/>
        </w:rPr>
        <w:t>from evaluating data reported by the EPA for whole fish, mussel/clam, other invertebrate, and plant samples collected from Cook Inlet in 2000 (EPA</w:t>
      </w:r>
      <w:r w:rsidR="00F566E1">
        <w:rPr>
          <w:rFonts w:asciiTheme="minorHAnsi" w:hAnsiTheme="minorHAnsi" w:cs="Times New Roman"/>
          <w:sz w:val="24"/>
          <w:szCs w:val="24"/>
        </w:rPr>
        <w:t>,</w:t>
      </w:r>
      <w:r w:rsidR="00465BAA" w:rsidRPr="00F314C1">
        <w:rPr>
          <w:rFonts w:asciiTheme="minorHAnsi" w:hAnsiTheme="minorHAnsi" w:cs="Times New Roman"/>
          <w:sz w:val="24"/>
          <w:szCs w:val="24"/>
        </w:rPr>
        <w:t xml:space="preserve"> 2000b). </w:t>
      </w:r>
      <w:r w:rsidR="009C6874" w:rsidRPr="00F314C1">
        <w:rPr>
          <w:rFonts w:asciiTheme="minorHAnsi" w:hAnsiTheme="minorHAnsi" w:cs="Times New Roman"/>
          <w:sz w:val="24"/>
          <w:szCs w:val="24"/>
        </w:rPr>
        <w:t xml:space="preserve"> </w:t>
      </w:r>
      <w:proofErr w:type="gramStart"/>
      <w:r w:rsidRPr="00F314C1">
        <w:rPr>
          <w:rFonts w:asciiTheme="minorHAnsi" w:hAnsiTheme="minorHAnsi" w:cs="Times New Roman"/>
          <w:sz w:val="24"/>
          <w:szCs w:val="24"/>
        </w:rPr>
        <w:t>to</w:t>
      </w:r>
      <w:proofErr w:type="gramEnd"/>
      <w:r w:rsidRPr="00F314C1">
        <w:rPr>
          <w:rFonts w:asciiTheme="minorHAnsi" w:hAnsiTheme="minorHAnsi" w:cs="Times New Roman"/>
          <w:sz w:val="24"/>
          <w:szCs w:val="24"/>
        </w:rPr>
        <w:t xml:space="preserve"> </w:t>
      </w:r>
      <w:proofErr w:type="spellStart"/>
      <w:r w:rsidRPr="00F314C1">
        <w:rPr>
          <w:rFonts w:asciiTheme="minorHAnsi" w:hAnsiTheme="minorHAnsi" w:cs="Times New Roman"/>
          <w:sz w:val="24"/>
          <w:szCs w:val="24"/>
        </w:rPr>
        <w:t>includean</w:t>
      </w:r>
      <w:proofErr w:type="spellEnd"/>
      <w:r w:rsidRPr="00F314C1">
        <w:rPr>
          <w:rFonts w:asciiTheme="minorHAnsi" w:hAnsiTheme="minorHAnsi" w:cs="Times New Roman"/>
          <w:sz w:val="24"/>
          <w:szCs w:val="24"/>
        </w:rPr>
        <w:t xml:space="preserve"> exposure </w:t>
      </w:r>
      <w:r w:rsidR="00944EE8" w:rsidRPr="00F314C1">
        <w:rPr>
          <w:rFonts w:asciiTheme="minorHAnsi" w:hAnsiTheme="minorHAnsi" w:cs="Times New Roman"/>
          <w:sz w:val="24"/>
          <w:szCs w:val="24"/>
        </w:rPr>
        <w:t>analysis</w:t>
      </w:r>
      <w:r w:rsidR="004D40EE" w:rsidRPr="00F314C1">
        <w:rPr>
          <w:rFonts w:asciiTheme="minorHAnsi" w:hAnsiTheme="minorHAnsi" w:cs="Times New Roman"/>
          <w:sz w:val="24"/>
          <w:szCs w:val="24"/>
        </w:rPr>
        <w:t xml:space="preserve"> using </w:t>
      </w:r>
      <w:r w:rsidR="000435B6" w:rsidRPr="00F314C1">
        <w:rPr>
          <w:rFonts w:asciiTheme="minorHAnsi" w:hAnsiTheme="minorHAnsi" w:cs="Times New Roman"/>
          <w:sz w:val="24"/>
          <w:szCs w:val="24"/>
        </w:rPr>
        <w:t xml:space="preserve">data from </w:t>
      </w:r>
      <w:r w:rsidR="00EA3537" w:rsidRPr="00F314C1">
        <w:rPr>
          <w:rFonts w:asciiTheme="minorHAnsi" w:hAnsiTheme="minorHAnsi" w:cs="Times New Roman"/>
          <w:sz w:val="24"/>
          <w:szCs w:val="24"/>
        </w:rPr>
        <w:t xml:space="preserve">the </w:t>
      </w:r>
      <w:r w:rsidR="000435B6" w:rsidRPr="00F314C1">
        <w:rPr>
          <w:rFonts w:asciiTheme="minorHAnsi" w:hAnsiTheme="minorHAnsi" w:cs="Times New Roman"/>
          <w:sz w:val="24"/>
          <w:szCs w:val="24"/>
        </w:rPr>
        <w:t xml:space="preserve">ADEC fish monitoring study </w:t>
      </w:r>
      <w:r w:rsidR="00F90056" w:rsidRPr="00F314C1">
        <w:rPr>
          <w:rFonts w:asciiTheme="minorHAnsi" w:hAnsiTheme="minorHAnsi" w:cs="Times New Roman"/>
          <w:sz w:val="24"/>
          <w:szCs w:val="24"/>
        </w:rPr>
        <w:t xml:space="preserve">(ADEC, 2005) </w:t>
      </w:r>
      <w:r w:rsidR="000435B6" w:rsidRPr="00F314C1">
        <w:rPr>
          <w:rFonts w:asciiTheme="minorHAnsi" w:hAnsiTheme="minorHAnsi" w:cs="Times New Roman"/>
          <w:sz w:val="24"/>
          <w:szCs w:val="24"/>
        </w:rPr>
        <w:t xml:space="preserve">and the </w:t>
      </w:r>
      <w:hyperlink r:id="rId18" w:history="1">
        <w:r w:rsidR="000435B6" w:rsidRPr="00F314C1">
          <w:rPr>
            <w:rFonts w:asciiTheme="minorHAnsi" w:hAnsiTheme="minorHAnsi" w:cs="Times New Roman"/>
            <w:sz w:val="24"/>
            <w:szCs w:val="24"/>
          </w:rPr>
          <w:t>Cook Inlet Regional Citizens Advisory Council</w:t>
        </w:r>
      </w:hyperlink>
      <w:r w:rsidR="005B1237" w:rsidRPr="00F314C1">
        <w:rPr>
          <w:rFonts w:asciiTheme="minorHAnsi" w:hAnsiTheme="minorHAnsi" w:cs="Times New Roman"/>
          <w:sz w:val="24"/>
          <w:szCs w:val="24"/>
        </w:rPr>
        <w:t xml:space="preserve"> Environmental Monitoring Program</w:t>
      </w:r>
      <w:r w:rsidR="00F90056" w:rsidRPr="00F314C1">
        <w:rPr>
          <w:rFonts w:asciiTheme="minorHAnsi" w:hAnsiTheme="minorHAnsi" w:cs="Times New Roman"/>
          <w:sz w:val="24"/>
          <w:szCs w:val="24"/>
        </w:rPr>
        <w:t xml:space="preserve"> (Lees, 1999)</w:t>
      </w:r>
      <w:r w:rsidR="005B1237" w:rsidRPr="00F314C1">
        <w:rPr>
          <w:rFonts w:asciiTheme="minorHAnsi" w:hAnsiTheme="minorHAnsi" w:cs="Times New Roman"/>
          <w:sz w:val="24"/>
          <w:szCs w:val="24"/>
        </w:rPr>
        <w:t>. The</w:t>
      </w:r>
      <w:r w:rsidR="00465BAA" w:rsidRPr="00F314C1">
        <w:rPr>
          <w:rFonts w:asciiTheme="minorHAnsi" w:hAnsiTheme="minorHAnsi" w:cs="Times New Roman"/>
          <w:sz w:val="24"/>
          <w:szCs w:val="24"/>
        </w:rPr>
        <w:t xml:space="preserve"> EPA</w:t>
      </w:r>
      <w:r w:rsidR="005B1237" w:rsidRPr="00F314C1">
        <w:rPr>
          <w:rFonts w:asciiTheme="minorHAnsi" w:hAnsiTheme="minorHAnsi" w:cs="Times New Roman"/>
          <w:sz w:val="24"/>
          <w:szCs w:val="24"/>
        </w:rPr>
        <w:t xml:space="preserve"> datasets </w:t>
      </w:r>
      <w:r w:rsidR="00227E07" w:rsidRPr="00F314C1">
        <w:rPr>
          <w:rFonts w:asciiTheme="minorHAnsi" w:hAnsiTheme="minorHAnsi" w:cs="Times New Roman"/>
          <w:sz w:val="24"/>
          <w:szCs w:val="24"/>
        </w:rPr>
        <w:t xml:space="preserve">provided information on </w:t>
      </w:r>
      <w:r w:rsidR="00EA3537" w:rsidRPr="00F314C1">
        <w:rPr>
          <w:rFonts w:asciiTheme="minorHAnsi" w:hAnsiTheme="minorHAnsi" w:cs="Times New Roman"/>
          <w:sz w:val="24"/>
          <w:szCs w:val="24"/>
        </w:rPr>
        <w:t xml:space="preserve">the </w:t>
      </w:r>
      <w:r w:rsidR="00227E07" w:rsidRPr="00F314C1">
        <w:rPr>
          <w:rFonts w:asciiTheme="minorHAnsi" w:hAnsiTheme="minorHAnsi" w:cs="Times New Roman"/>
          <w:sz w:val="24"/>
          <w:szCs w:val="24"/>
        </w:rPr>
        <w:t xml:space="preserve">concentrations of contaminants present in </w:t>
      </w:r>
      <w:r w:rsidR="00906881" w:rsidRPr="00F314C1">
        <w:rPr>
          <w:rFonts w:asciiTheme="minorHAnsi" w:hAnsiTheme="minorHAnsi" w:cs="Times New Roman"/>
          <w:sz w:val="24"/>
          <w:szCs w:val="24"/>
        </w:rPr>
        <w:t xml:space="preserve">the </w:t>
      </w:r>
      <w:r w:rsidR="00227E07" w:rsidRPr="00F314C1">
        <w:rPr>
          <w:rFonts w:asciiTheme="minorHAnsi" w:hAnsiTheme="minorHAnsi" w:cs="Times New Roman"/>
          <w:sz w:val="24"/>
          <w:szCs w:val="24"/>
        </w:rPr>
        <w:t xml:space="preserve">tissue </w:t>
      </w:r>
      <w:r w:rsidR="00906881" w:rsidRPr="00F314C1">
        <w:rPr>
          <w:rFonts w:asciiTheme="minorHAnsi" w:hAnsiTheme="minorHAnsi" w:cs="Times New Roman"/>
          <w:sz w:val="24"/>
          <w:szCs w:val="24"/>
        </w:rPr>
        <w:t>of</w:t>
      </w:r>
      <w:r w:rsidR="003A0669" w:rsidRPr="00F314C1">
        <w:rPr>
          <w:rFonts w:asciiTheme="minorHAnsi" w:hAnsiTheme="minorHAnsi" w:cs="Times New Roman"/>
          <w:sz w:val="24"/>
          <w:szCs w:val="24"/>
        </w:rPr>
        <w:t xml:space="preserve"> sampled fish, bivalves</w:t>
      </w:r>
      <w:r w:rsidR="00944EE8" w:rsidRPr="00F314C1">
        <w:rPr>
          <w:rFonts w:asciiTheme="minorHAnsi" w:hAnsiTheme="minorHAnsi" w:cs="Times New Roman"/>
          <w:sz w:val="24"/>
          <w:szCs w:val="24"/>
        </w:rPr>
        <w:t>,</w:t>
      </w:r>
      <w:r w:rsidR="00FA4ACA" w:rsidRPr="00F314C1">
        <w:rPr>
          <w:rFonts w:asciiTheme="minorHAnsi" w:hAnsiTheme="minorHAnsi" w:cs="Times New Roman"/>
          <w:sz w:val="24"/>
          <w:szCs w:val="24"/>
        </w:rPr>
        <w:t xml:space="preserve"> and other marine inve</w:t>
      </w:r>
      <w:r w:rsidR="00024FC4" w:rsidRPr="00F314C1">
        <w:rPr>
          <w:rFonts w:asciiTheme="minorHAnsi" w:hAnsiTheme="minorHAnsi" w:cs="Times New Roman"/>
          <w:sz w:val="24"/>
          <w:szCs w:val="24"/>
        </w:rPr>
        <w:t>r</w:t>
      </w:r>
      <w:r w:rsidR="00FA4ACA" w:rsidRPr="00F314C1">
        <w:rPr>
          <w:rFonts w:asciiTheme="minorHAnsi" w:hAnsiTheme="minorHAnsi" w:cs="Times New Roman"/>
          <w:sz w:val="24"/>
          <w:szCs w:val="24"/>
        </w:rPr>
        <w:t>te</w:t>
      </w:r>
      <w:r w:rsidR="00024FC4" w:rsidRPr="00F314C1">
        <w:rPr>
          <w:rFonts w:asciiTheme="minorHAnsi" w:hAnsiTheme="minorHAnsi" w:cs="Times New Roman"/>
          <w:sz w:val="24"/>
          <w:szCs w:val="24"/>
        </w:rPr>
        <w:t xml:space="preserve">brates in the region. </w:t>
      </w:r>
      <w:r w:rsidR="00465BAA" w:rsidRPr="00F314C1">
        <w:rPr>
          <w:rFonts w:asciiTheme="minorHAnsi" w:hAnsiTheme="minorHAnsi" w:cs="Times New Roman"/>
          <w:sz w:val="24"/>
          <w:szCs w:val="24"/>
        </w:rPr>
        <w:t>E</w:t>
      </w:r>
      <w:r w:rsidR="00227E07" w:rsidRPr="00F314C1">
        <w:rPr>
          <w:rFonts w:asciiTheme="minorHAnsi" w:hAnsiTheme="minorHAnsi" w:cs="Times New Roman"/>
          <w:sz w:val="24"/>
          <w:szCs w:val="24"/>
        </w:rPr>
        <w:t xml:space="preserve">xposure </w:t>
      </w:r>
      <w:r w:rsidR="00035270" w:rsidRPr="00F314C1">
        <w:rPr>
          <w:rFonts w:asciiTheme="minorHAnsi" w:hAnsiTheme="minorHAnsi" w:cs="Times New Roman"/>
          <w:sz w:val="24"/>
          <w:szCs w:val="24"/>
        </w:rPr>
        <w:t>due to the consumption of aquatic life</w:t>
      </w:r>
      <w:r w:rsidR="00227E07" w:rsidRPr="00F314C1">
        <w:rPr>
          <w:rFonts w:asciiTheme="minorHAnsi" w:hAnsiTheme="minorHAnsi" w:cs="Times New Roman"/>
          <w:sz w:val="24"/>
          <w:szCs w:val="24"/>
        </w:rPr>
        <w:t xml:space="preserve"> </w:t>
      </w:r>
      <w:r w:rsidR="00B25A64" w:rsidRPr="00F314C1">
        <w:rPr>
          <w:rFonts w:asciiTheme="minorHAnsi" w:hAnsiTheme="minorHAnsi" w:cs="Times New Roman"/>
          <w:sz w:val="24"/>
          <w:szCs w:val="24"/>
        </w:rPr>
        <w:t>was derived</w:t>
      </w:r>
      <w:r w:rsidR="00024FC4" w:rsidRPr="00F314C1">
        <w:rPr>
          <w:rFonts w:asciiTheme="minorHAnsi" w:hAnsiTheme="minorHAnsi" w:cs="Times New Roman"/>
          <w:sz w:val="24"/>
          <w:szCs w:val="24"/>
        </w:rPr>
        <w:t xml:space="preserve"> using </w:t>
      </w:r>
      <w:r w:rsidR="00B25A64" w:rsidRPr="00F314C1">
        <w:rPr>
          <w:rFonts w:asciiTheme="minorHAnsi" w:hAnsiTheme="minorHAnsi" w:cs="Times New Roman"/>
          <w:sz w:val="24"/>
          <w:szCs w:val="24"/>
        </w:rPr>
        <w:t>dietary survey</w:t>
      </w:r>
      <w:r w:rsidR="00024FC4" w:rsidRPr="00F314C1">
        <w:rPr>
          <w:rFonts w:asciiTheme="minorHAnsi" w:hAnsiTheme="minorHAnsi" w:cs="Times New Roman"/>
          <w:sz w:val="24"/>
          <w:szCs w:val="24"/>
        </w:rPr>
        <w:t xml:space="preserve"> data from the Village of Port Graham</w:t>
      </w:r>
      <w:r w:rsidR="00035270" w:rsidRPr="00F314C1">
        <w:rPr>
          <w:rFonts w:asciiTheme="minorHAnsi" w:hAnsiTheme="minorHAnsi" w:cs="Times New Roman"/>
          <w:sz w:val="24"/>
          <w:szCs w:val="24"/>
        </w:rPr>
        <w:t xml:space="preserve"> that was conducted in 2004</w:t>
      </w:r>
      <w:r w:rsidR="00024FC4" w:rsidRPr="00F314C1">
        <w:rPr>
          <w:rFonts w:asciiTheme="minorHAnsi" w:hAnsiTheme="minorHAnsi" w:cs="Times New Roman"/>
          <w:sz w:val="24"/>
          <w:szCs w:val="24"/>
        </w:rPr>
        <w:t xml:space="preserve">. </w:t>
      </w:r>
      <w:r w:rsidR="00B25A64" w:rsidRPr="00F314C1">
        <w:rPr>
          <w:rFonts w:asciiTheme="minorHAnsi" w:hAnsiTheme="minorHAnsi" w:cs="Times New Roman"/>
          <w:sz w:val="24"/>
          <w:szCs w:val="24"/>
        </w:rPr>
        <w:t>The survey was developed by ATSDR and the Alaskan Native Health Board</w:t>
      </w:r>
      <w:r w:rsidRPr="00F314C1">
        <w:rPr>
          <w:rFonts w:asciiTheme="minorHAnsi" w:hAnsiTheme="minorHAnsi" w:cs="Times New Roman"/>
          <w:sz w:val="24"/>
          <w:szCs w:val="24"/>
        </w:rPr>
        <w:t xml:space="preserve"> for use in this consultation.</w:t>
      </w:r>
      <w:r w:rsidR="00F566E1">
        <w:rPr>
          <w:rFonts w:asciiTheme="minorHAnsi" w:hAnsiTheme="minorHAnsi" w:cs="Times New Roman"/>
          <w:sz w:val="24"/>
          <w:szCs w:val="24"/>
        </w:rPr>
        <w:t xml:space="preserve"> </w:t>
      </w:r>
      <w:r w:rsidR="00024FC4" w:rsidRPr="00F314C1">
        <w:rPr>
          <w:rFonts w:asciiTheme="minorHAnsi" w:hAnsiTheme="minorHAnsi" w:cs="Times New Roman"/>
          <w:sz w:val="24"/>
          <w:szCs w:val="24"/>
        </w:rPr>
        <w:t>This consumption data was assumed to be representative of the other villages included in the health consultation.</w:t>
      </w:r>
    </w:p>
    <w:p w14:paraId="64987FD8" w14:textId="77777777" w:rsidR="00506E43" w:rsidRPr="00F314C1" w:rsidRDefault="00F902B6" w:rsidP="00C379D4">
      <w:pPr>
        <w:pStyle w:val="Heading4"/>
        <w:jc w:val="both"/>
        <w:rPr>
          <w:sz w:val="24"/>
          <w:szCs w:val="24"/>
        </w:rPr>
      </w:pPr>
      <w:r w:rsidRPr="00F314C1">
        <w:rPr>
          <w:sz w:val="24"/>
          <w:szCs w:val="24"/>
        </w:rPr>
        <w:t>Study Population</w:t>
      </w:r>
    </w:p>
    <w:p w14:paraId="64987FD9" w14:textId="5B2EDF32" w:rsidR="00024FC4" w:rsidRPr="00F314C1" w:rsidRDefault="00A846BA" w:rsidP="00C379D4">
      <w:pPr>
        <w:jc w:val="both"/>
        <w:rPr>
          <w:rFonts w:asciiTheme="minorHAnsi" w:hAnsiTheme="minorHAnsi"/>
          <w:b/>
          <w:i/>
          <w:sz w:val="24"/>
          <w:szCs w:val="24"/>
        </w:rPr>
      </w:pPr>
      <w:r w:rsidRPr="00F314C1">
        <w:rPr>
          <w:rFonts w:asciiTheme="minorHAnsi" w:hAnsiTheme="minorHAnsi"/>
          <w:color w:val="000000"/>
          <w:sz w:val="24"/>
          <w:szCs w:val="24"/>
        </w:rPr>
        <w:t xml:space="preserve">Participation in the study was voluntary for residents of Port Graham. </w:t>
      </w:r>
      <w:r w:rsidR="00DE6137" w:rsidRPr="00F314C1">
        <w:rPr>
          <w:rFonts w:asciiTheme="minorHAnsi" w:hAnsiTheme="minorHAnsi"/>
          <w:color w:val="000000"/>
          <w:sz w:val="24"/>
          <w:szCs w:val="24"/>
        </w:rPr>
        <w:t>Participants included 23</w:t>
      </w:r>
      <w:r w:rsidR="00024FC4" w:rsidRPr="00F314C1">
        <w:rPr>
          <w:rFonts w:asciiTheme="minorHAnsi" w:hAnsiTheme="minorHAnsi"/>
          <w:color w:val="000000"/>
          <w:sz w:val="24"/>
          <w:szCs w:val="24"/>
        </w:rPr>
        <w:t xml:space="preserve"> females and 21 males </w:t>
      </w:r>
      <w:r w:rsidR="00DE6137" w:rsidRPr="00F314C1">
        <w:rPr>
          <w:rFonts w:asciiTheme="minorHAnsi" w:hAnsiTheme="minorHAnsi"/>
          <w:color w:val="000000"/>
          <w:sz w:val="24"/>
          <w:szCs w:val="24"/>
        </w:rPr>
        <w:t xml:space="preserve">in </w:t>
      </w:r>
      <w:r w:rsidR="00024FC4" w:rsidRPr="00F314C1">
        <w:rPr>
          <w:rFonts w:asciiTheme="minorHAnsi" w:hAnsiTheme="minorHAnsi"/>
          <w:color w:val="000000"/>
          <w:sz w:val="24"/>
          <w:szCs w:val="24"/>
        </w:rPr>
        <w:t xml:space="preserve">the following three </w:t>
      </w:r>
      <w:r w:rsidRPr="00F314C1">
        <w:rPr>
          <w:rFonts w:asciiTheme="minorHAnsi" w:hAnsiTheme="minorHAnsi"/>
          <w:color w:val="000000"/>
          <w:sz w:val="24"/>
          <w:szCs w:val="24"/>
        </w:rPr>
        <w:t xml:space="preserve">age </w:t>
      </w:r>
      <w:r w:rsidR="00024FC4" w:rsidRPr="00F314C1">
        <w:rPr>
          <w:rFonts w:asciiTheme="minorHAnsi" w:hAnsiTheme="minorHAnsi"/>
          <w:color w:val="000000"/>
          <w:sz w:val="24"/>
          <w:szCs w:val="24"/>
        </w:rPr>
        <w:t>groups: elders (</w:t>
      </w:r>
      <w:r w:rsidR="00DE6137" w:rsidRPr="00F314C1">
        <w:rPr>
          <w:rFonts w:asciiTheme="minorHAnsi" w:hAnsiTheme="minorHAnsi"/>
          <w:color w:val="000000"/>
          <w:sz w:val="24"/>
          <w:szCs w:val="24"/>
        </w:rPr>
        <w:t xml:space="preserve">65 years of age or older; n = </w:t>
      </w:r>
      <w:r w:rsidR="00024FC4" w:rsidRPr="00F314C1">
        <w:rPr>
          <w:rFonts w:asciiTheme="minorHAnsi" w:hAnsiTheme="minorHAnsi"/>
          <w:color w:val="000000"/>
          <w:sz w:val="24"/>
          <w:szCs w:val="24"/>
        </w:rPr>
        <w:t>12)</w:t>
      </w:r>
      <w:r w:rsidR="005C4C66" w:rsidRPr="00F314C1">
        <w:rPr>
          <w:rFonts w:asciiTheme="minorHAnsi" w:hAnsiTheme="minorHAnsi"/>
          <w:color w:val="000000"/>
          <w:sz w:val="24"/>
          <w:szCs w:val="24"/>
        </w:rPr>
        <w:t>;</w:t>
      </w:r>
      <w:r w:rsidR="00024FC4" w:rsidRPr="00F314C1">
        <w:rPr>
          <w:rFonts w:asciiTheme="minorHAnsi" w:hAnsiTheme="minorHAnsi"/>
          <w:color w:val="000000"/>
          <w:sz w:val="24"/>
          <w:szCs w:val="24"/>
        </w:rPr>
        <w:t xml:space="preserve"> adults (</w:t>
      </w:r>
      <w:r w:rsidR="00DE6137" w:rsidRPr="00F314C1">
        <w:rPr>
          <w:rFonts w:asciiTheme="minorHAnsi" w:hAnsiTheme="minorHAnsi"/>
          <w:color w:val="000000"/>
          <w:sz w:val="24"/>
          <w:szCs w:val="24"/>
        </w:rPr>
        <w:t xml:space="preserve">20–64 years; n = </w:t>
      </w:r>
      <w:r w:rsidR="00024FC4" w:rsidRPr="00F314C1">
        <w:rPr>
          <w:rFonts w:asciiTheme="minorHAnsi" w:hAnsiTheme="minorHAnsi"/>
          <w:color w:val="000000"/>
          <w:sz w:val="24"/>
          <w:szCs w:val="24"/>
        </w:rPr>
        <w:t>28)</w:t>
      </w:r>
      <w:r w:rsidR="005C4C66" w:rsidRPr="00F314C1">
        <w:rPr>
          <w:rFonts w:asciiTheme="minorHAnsi" w:hAnsiTheme="minorHAnsi"/>
          <w:color w:val="000000"/>
          <w:sz w:val="24"/>
          <w:szCs w:val="24"/>
        </w:rPr>
        <w:t>;</w:t>
      </w:r>
      <w:r w:rsidR="00024FC4" w:rsidRPr="00F314C1">
        <w:rPr>
          <w:rFonts w:asciiTheme="minorHAnsi" w:hAnsiTheme="minorHAnsi"/>
          <w:color w:val="000000"/>
          <w:sz w:val="24"/>
          <w:szCs w:val="24"/>
        </w:rPr>
        <w:t xml:space="preserve"> and teenagers (</w:t>
      </w:r>
      <w:r w:rsidR="00DE6137" w:rsidRPr="00F314C1">
        <w:rPr>
          <w:rFonts w:asciiTheme="minorHAnsi" w:hAnsiTheme="minorHAnsi"/>
          <w:color w:val="000000"/>
          <w:sz w:val="24"/>
          <w:szCs w:val="24"/>
        </w:rPr>
        <w:t xml:space="preserve">n = </w:t>
      </w:r>
      <w:r w:rsidR="00024FC4" w:rsidRPr="00F314C1">
        <w:rPr>
          <w:rFonts w:asciiTheme="minorHAnsi" w:hAnsiTheme="minorHAnsi"/>
          <w:color w:val="000000"/>
          <w:sz w:val="24"/>
          <w:szCs w:val="24"/>
        </w:rPr>
        <w:t xml:space="preserve">4). </w:t>
      </w:r>
    </w:p>
    <w:p w14:paraId="64987FDA" w14:textId="77777777" w:rsidR="00F902B6" w:rsidRPr="00F314C1" w:rsidRDefault="00F902B6" w:rsidP="00C379D4">
      <w:pPr>
        <w:pStyle w:val="Heading4"/>
        <w:jc w:val="both"/>
        <w:rPr>
          <w:sz w:val="24"/>
          <w:szCs w:val="24"/>
        </w:rPr>
      </w:pPr>
      <w:r w:rsidRPr="00F314C1">
        <w:rPr>
          <w:sz w:val="24"/>
          <w:szCs w:val="24"/>
        </w:rPr>
        <w:t>Data Collection Methods</w:t>
      </w:r>
    </w:p>
    <w:p w14:paraId="64987FDB" w14:textId="63312291" w:rsidR="00A846BA" w:rsidRPr="00F314C1" w:rsidRDefault="00F90056" w:rsidP="00C379D4">
      <w:pPr>
        <w:jc w:val="both"/>
        <w:rPr>
          <w:rFonts w:asciiTheme="minorHAnsi" w:hAnsiTheme="minorHAnsi"/>
          <w:b/>
          <w:i/>
          <w:sz w:val="24"/>
          <w:szCs w:val="24"/>
        </w:rPr>
      </w:pPr>
      <w:r w:rsidRPr="00F314C1">
        <w:rPr>
          <w:rFonts w:asciiTheme="minorHAnsi" w:hAnsiTheme="minorHAnsi"/>
          <w:color w:val="000000"/>
          <w:sz w:val="24"/>
          <w:szCs w:val="24"/>
        </w:rPr>
        <w:t>A FFQ</w:t>
      </w:r>
      <w:r w:rsidR="00A846BA" w:rsidRPr="00F314C1">
        <w:rPr>
          <w:rFonts w:asciiTheme="minorHAnsi" w:hAnsiTheme="minorHAnsi"/>
          <w:color w:val="000000"/>
          <w:sz w:val="24"/>
          <w:szCs w:val="24"/>
        </w:rPr>
        <w:t xml:space="preserve"> was used to identify the types and amounts of </w:t>
      </w:r>
      <w:r w:rsidR="00171673" w:rsidRPr="00F314C1">
        <w:rPr>
          <w:rFonts w:asciiTheme="minorHAnsi" w:hAnsiTheme="minorHAnsi"/>
          <w:color w:val="000000"/>
          <w:sz w:val="24"/>
          <w:szCs w:val="24"/>
        </w:rPr>
        <w:t>subsistence</w:t>
      </w:r>
      <w:r w:rsidR="00A846BA" w:rsidRPr="00F314C1">
        <w:rPr>
          <w:rFonts w:asciiTheme="minorHAnsi" w:hAnsiTheme="minorHAnsi"/>
          <w:color w:val="000000"/>
          <w:sz w:val="24"/>
          <w:szCs w:val="24"/>
        </w:rPr>
        <w:t xml:space="preserve"> foods </w:t>
      </w:r>
      <w:r w:rsidR="00F112B6" w:rsidRPr="00F314C1">
        <w:rPr>
          <w:rFonts w:asciiTheme="minorHAnsi" w:hAnsiTheme="minorHAnsi"/>
          <w:color w:val="000000"/>
          <w:sz w:val="24"/>
          <w:szCs w:val="24"/>
        </w:rPr>
        <w:t xml:space="preserve">consumed </w:t>
      </w:r>
      <w:r w:rsidR="00A846BA" w:rsidRPr="00F314C1">
        <w:rPr>
          <w:rFonts w:asciiTheme="minorHAnsi" w:hAnsiTheme="minorHAnsi"/>
          <w:color w:val="000000"/>
          <w:sz w:val="24"/>
          <w:szCs w:val="24"/>
        </w:rPr>
        <w:t xml:space="preserve">by study participants </w:t>
      </w:r>
      <w:r w:rsidR="00DE6137" w:rsidRPr="00F314C1">
        <w:rPr>
          <w:rFonts w:asciiTheme="minorHAnsi" w:hAnsiTheme="minorHAnsi"/>
          <w:color w:val="000000"/>
          <w:sz w:val="24"/>
          <w:szCs w:val="24"/>
        </w:rPr>
        <w:t xml:space="preserve">during </w:t>
      </w:r>
      <w:r w:rsidR="00A846BA" w:rsidRPr="00F314C1">
        <w:rPr>
          <w:rFonts w:asciiTheme="minorHAnsi" w:hAnsiTheme="minorHAnsi"/>
          <w:color w:val="000000"/>
          <w:sz w:val="24"/>
          <w:szCs w:val="24"/>
        </w:rPr>
        <w:t>the previous 12 months.</w:t>
      </w:r>
    </w:p>
    <w:p w14:paraId="64987FDC" w14:textId="77777777" w:rsidR="00F902B6" w:rsidRPr="00F314C1" w:rsidRDefault="00F902B6" w:rsidP="00C379D4">
      <w:pPr>
        <w:pStyle w:val="Heading4"/>
        <w:keepNext/>
        <w:jc w:val="both"/>
        <w:rPr>
          <w:sz w:val="24"/>
          <w:szCs w:val="24"/>
        </w:rPr>
      </w:pPr>
      <w:r w:rsidRPr="00F314C1">
        <w:rPr>
          <w:sz w:val="24"/>
          <w:szCs w:val="24"/>
        </w:rPr>
        <w:t xml:space="preserve">Description of Data </w:t>
      </w:r>
    </w:p>
    <w:p w14:paraId="64987FDD" w14:textId="686F6B76" w:rsidR="00F90056" w:rsidRPr="00F314C1" w:rsidRDefault="00A846BA" w:rsidP="00C379D4">
      <w:pPr>
        <w:keepNext/>
        <w:jc w:val="both"/>
        <w:rPr>
          <w:rFonts w:asciiTheme="minorHAnsi" w:hAnsiTheme="minorHAnsi"/>
          <w:color w:val="000000"/>
          <w:sz w:val="24"/>
          <w:szCs w:val="24"/>
        </w:rPr>
      </w:pPr>
      <w:r w:rsidRPr="00F314C1">
        <w:rPr>
          <w:rFonts w:asciiTheme="minorHAnsi" w:hAnsiTheme="minorHAnsi"/>
          <w:color w:val="000000"/>
          <w:sz w:val="24"/>
          <w:szCs w:val="24"/>
        </w:rPr>
        <w:t xml:space="preserve">The Village Council provided ATSDR with an Excel </w:t>
      </w:r>
      <w:r w:rsidR="008A39B7" w:rsidRPr="00F314C1">
        <w:rPr>
          <w:rFonts w:asciiTheme="minorHAnsi" w:hAnsiTheme="minorHAnsi"/>
          <w:color w:val="000000"/>
          <w:sz w:val="24"/>
          <w:szCs w:val="24"/>
        </w:rPr>
        <w:t xml:space="preserve">database </w:t>
      </w:r>
      <w:r w:rsidRPr="00F314C1">
        <w:rPr>
          <w:rFonts w:asciiTheme="minorHAnsi" w:hAnsiTheme="minorHAnsi"/>
          <w:color w:val="000000"/>
          <w:sz w:val="24"/>
          <w:szCs w:val="24"/>
        </w:rPr>
        <w:t xml:space="preserve">containing responses from the 44 individuals participating in the survey. ATSDR’s Division of Health Studies evaluated </w:t>
      </w:r>
      <w:r w:rsidR="00C77B51" w:rsidRPr="00F314C1">
        <w:rPr>
          <w:rFonts w:asciiTheme="minorHAnsi" w:hAnsiTheme="minorHAnsi"/>
          <w:color w:val="000000"/>
          <w:sz w:val="24"/>
          <w:szCs w:val="24"/>
        </w:rPr>
        <w:t xml:space="preserve">the </w:t>
      </w:r>
      <w:r w:rsidRPr="00F314C1">
        <w:rPr>
          <w:rFonts w:asciiTheme="minorHAnsi" w:hAnsiTheme="minorHAnsi"/>
          <w:color w:val="000000"/>
          <w:sz w:val="24"/>
          <w:szCs w:val="24"/>
        </w:rPr>
        <w:t xml:space="preserve">data for the Village Council. ATSDR used the data from the Port Graham dietary survey as a guide in estimating the dose </w:t>
      </w:r>
      <w:r w:rsidR="00C92888" w:rsidRPr="00F314C1">
        <w:rPr>
          <w:rFonts w:asciiTheme="minorHAnsi" w:hAnsiTheme="minorHAnsi"/>
          <w:color w:val="000000"/>
          <w:sz w:val="24"/>
          <w:szCs w:val="24"/>
        </w:rPr>
        <w:t xml:space="preserve">of exposure </w:t>
      </w:r>
      <w:r w:rsidR="00DD3460" w:rsidRPr="00F314C1">
        <w:rPr>
          <w:rFonts w:asciiTheme="minorHAnsi" w:hAnsiTheme="minorHAnsi"/>
          <w:color w:val="000000"/>
          <w:sz w:val="24"/>
          <w:szCs w:val="24"/>
        </w:rPr>
        <w:t xml:space="preserve">to contaminants </w:t>
      </w:r>
      <w:r w:rsidRPr="00F314C1">
        <w:rPr>
          <w:rFonts w:asciiTheme="minorHAnsi" w:hAnsiTheme="minorHAnsi"/>
          <w:color w:val="000000"/>
          <w:sz w:val="24"/>
          <w:szCs w:val="24"/>
        </w:rPr>
        <w:t xml:space="preserve">that residents might receive from eating fish </w:t>
      </w:r>
      <w:r w:rsidR="00C37F69" w:rsidRPr="00F314C1">
        <w:rPr>
          <w:rFonts w:asciiTheme="minorHAnsi" w:hAnsiTheme="minorHAnsi"/>
          <w:color w:val="000000"/>
          <w:sz w:val="24"/>
          <w:szCs w:val="24"/>
        </w:rPr>
        <w:t>caught in</w:t>
      </w:r>
      <w:r w:rsidRPr="00F314C1">
        <w:rPr>
          <w:rFonts w:asciiTheme="minorHAnsi" w:hAnsiTheme="minorHAnsi"/>
          <w:color w:val="000000"/>
          <w:sz w:val="24"/>
          <w:szCs w:val="24"/>
        </w:rPr>
        <w:t xml:space="preserve"> Cook Inlet.</w:t>
      </w:r>
      <w:r w:rsidR="00C37F69" w:rsidRPr="00F314C1">
        <w:rPr>
          <w:rFonts w:asciiTheme="minorHAnsi" w:hAnsiTheme="minorHAnsi"/>
          <w:color w:val="000000"/>
          <w:sz w:val="24"/>
          <w:szCs w:val="24"/>
        </w:rPr>
        <w:t xml:space="preserve"> </w:t>
      </w:r>
    </w:p>
    <w:p w14:paraId="64987FDE" w14:textId="77777777" w:rsidR="00C77B51" w:rsidRPr="00F314C1" w:rsidRDefault="00C77B51" w:rsidP="00C379D4">
      <w:pPr>
        <w:jc w:val="both"/>
        <w:rPr>
          <w:rFonts w:asciiTheme="minorHAnsi" w:hAnsiTheme="minorHAnsi"/>
          <w:color w:val="000000"/>
          <w:sz w:val="24"/>
          <w:szCs w:val="24"/>
        </w:rPr>
      </w:pPr>
      <w:r w:rsidRPr="00F314C1">
        <w:rPr>
          <w:rFonts w:asciiTheme="minorHAnsi" w:hAnsiTheme="minorHAnsi"/>
          <w:color w:val="000000"/>
          <w:sz w:val="24"/>
          <w:szCs w:val="24"/>
        </w:rPr>
        <w:t xml:space="preserve">The ATSDR Health Consultation Report presents estimated total daily and yearly fish consumption </w:t>
      </w:r>
      <w:r w:rsidR="00FA3456" w:rsidRPr="00F314C1">
        <w:rPr>
          <w:rFonts w:asciiTheme="minorHAnsi" w:hAnsiTheme="minorHAnsi"/>
          <w:color w:val="000000"/>
          <w:sz w:val="24"/>
          <w:szCs w:val="24"/>
        </w:rPr>
        <w:t xml:space="preserve">per person </w:t>
      </w:r>
      <w:r w:rsidRPr="00F314C1">
        <w:rPr>
          <w:rFonts w:asciiTheme="minorHAnsi" w:hAnsiTheme="minorHAnsi"/>
          <w:color w:val="000000"/>
          <w:sz w:val="24"/>
          <w:szCs w:val="24"/>
        </w:rPr>
        <w:t>for all survey respondents, f</w:t>
      </w:r>
      <w:r w:rsidR="00FA3456" w:rsidRPr="00F314C1">
        <w:rPr>
          <w:rFonts w:asciiTheme="minorHAnsi" w:hAnsiTheme="minorHAnsi"/>
          <w:color w:val="000000"/>
          <w:sz w:val="24"/>
          <w:szCs w:val="24"/>
        </w:rPr>
        <w:t>or each age group</w:t>
      </w:r>
      <w:r w:rsidRPr="00F314C1">
        <w:rPr>
          <w:rFonts w:asciiTheme="minorHAnsi" w:hAnsiTheme="minorHAnsi"/>
          <w:color w:val="000000"/>
          <w:sz w:val="24"/>
          <w:szCs w:val="24"/>
        </w:rPr>
        <w:t>.</w:t>
      </w:r>
    </w:p>
    <w:p w14:paraId="64987FDF" w14:textId="77777777" w:rsidR="00F902B6" w:rsidRPr="00F314C1" w:rsidRDefault="00F902B6" w:rsidP="00C379D4">
      <w:pPr>
        <w:pStyle w:val="Heading4"/>
        <w:jc w:val="both"/>
        <w:rPr>
          <w:sz w:val="24"/>
          <w:szCs w:val="24"/>
        </w:rPr>
      </w:pPr>
      <w:r w:rsidRPr="00F314C1">
        <w:rPr>
          <w:sz w:val="24"/>
          <w:szCs w:val="24"/>
        </w:rPr>
        <w:t>QA/QC Procedures</w:t>
      </w:r>
    </w:p>
    <w:p w14:paraId="64987FE0" w14:textId="77777777" w:rsidR="00C00C9C" w:rsidRPr="00F314C1" w:rsidRDefault="00C00C9C" w:rsidP="00C379D4">
      <w:pPr>
        <w:jc w:val="both"/>
        <w:rPr>
          <w:rFonts w:asciiTheme="minorHAnsi" w:hAnsiTheme="minorHAnsi"/>
          <w:sz w:val="24"/>
          <w:szCs w:val="24"/>
        </w:rPr>
      </w:pPr>
      <w:r w:rsidRPr="00F314C1">
        <w:rPr>
          <w:rFonts w:asciiTheme="minorHAnsi" w:hAnsiTheme="minorHAnsi"/>
          <w:sz w:val="24"/>
          <w:szCs w:val="24"/>
        </w:rPr>
        <w:t xml:space="preserve">No information was provided on </w:t>
      </w:r>
      <w:r w:rsidR="002F009F" w:rsidRPr="00F314C1">
        <w:rPr>
          <w:rFonts w:asciiTheme="minorHAnsi" w:hAnsiTheme="minorHAnsi"/>
          <w:sz w:val="24"/>
          <w:szCs w:val="24"/>
        </w:rPr>
        <w:t xml:space="preserve">the </w:t>
      </w:r>
      <w:r w:rsidRPr="00F314C1">
        <w:rPr>
          <w:rFonts w:asciiTheme="minorHAnsi" w:hAnsiTheme="minorHAnsi"/>
          <w:sz w:val="24"/>
          <w:szCs w:val="24"/>
        </w:rPr>
        <w:t>QA/QC</w:t>
      </w:r>
      <w:r w:rsidR="002F009F" w:rsidRPr="00F314C1">
        <w:rPr>
          <w:rFonts w:asciiTheme="minorHAnsi" w:hAnsiTheme="minorHAnsi"/>
          <w:sz w:val="24"/>
          <w:szCs w:val="24"/>
        </w:rPr>
        <w:t xml:space="preserve"> procedures utilized during </w:t>
      </w:r>
      <w:r w:rsidRPr="00F314C1">
        <w:rPr>
          <w:rFonts w:asciiTheme="minorHAnsi" w:hAnsiTheme="minorHAnsi"/>
          <w:sz w:val="24"/>
          <w:szCs w:val="24"/>
        </w:rPr>
        <w:t>data collection or analysis</w:t>
      </w:r>
      <w:r w:rsidR="00C37F69" w:rsidRPr="00F314C1">
        <w:rPr>
          <w:rFonts w:asciiTheme="minorHAnsi" w:hAnsiTheme="minorHAnsi"/>
          <w:sz w:val="24"/>
          <w:szCs w:val="24"/>
        </w:rPr>
        <w:t>.</w:t>
      </w:r>
      <w:r w:rsidRPr="00F314C1">
        <w:rPr>
          <w:rFonts w:asciiTheme="minorHAnsi" w:hAnsiTheme="minorHAnsi"/>
          <w:sz w:val="24"/>
          <w:szCs w:val="24"/>
        </w:rPr>
        <w:t xml:space="preserve"> </w:t>
      </w:r>
    </w:p>
    <w:p w14:paraId="64987FE1" w14:textId="77777777" w:rsidR="00F902B6" w:rsidRPr="00F314C1" w:rsidRDefault="00F902B6" w:rsidP="00C379D4">
      <w:pPr>
        <w:pStyle w:val="Heading4"/>
        <w:keepNext/>
        <w:jc w:val="both"/>
        <w:rPr>
          <w:sz w:val="24"/>
          <w:szCs w:val="24"/>
        </w:rPr>
      </w:pPr>
      <w:r w:rsidRPr="00F314C1">
        <w:rPr>
          <w:sz w:val="24"/>
          <w:szCs w:val="24"/>
        </w:rPr>
        <w:t xml:space="preserve">Findings on Fish Consumption </w:t>
      </w:r>
    </w:p>
    <w:p w14:paraId="64987FE2" w14:textId="68803A8D" w:rsidR="00C77B51" w:rsidRPr="00F314C1" w:rsidRDefault="00C77B51" w:rsidP="00C379D4">
      <w:pPr>
        <w:keepNext/>
        <w:jc w:val="both"/>
        <w:rPr>
          <w:rFonts w:asciiTheme="minorHAnsi" w:hAnsiTheme="minorHAnsi"/>
          <w:color w:val="000000"/>
          <w:sz w:val="24"/>
          <w:szCs w:val="24"/>
        </w:rPr>
      </w:pPr>
      <w:r w:rsidRPr="00F314C1">
        <w:rPr>
          <w:rFonts w:asciiTheme="minorHAnsi" w:hAnsiTheme="minorHAnsi"/>
          <w:color w:val="000000"/>
          <w:sz w:val="24"/>
          <w:szCs w:val="24"/>
        </w:rPr>
        <w:t xml:space="preserve">The study found </w:t>
      </w:r>
      <w:r w:rsidR="00C37F69" w:rsidRPr="00F314C1">
        <w:rPr>
          <w:rFonts w:asciiTheme="minorHAnsi" w:hAnsiTheme="minorHAnsi"/>
          <w:color w:val="000000"/>
          <w:sz w:val="24"/>
          <w:szCs w:val="24"/>
        </w:rPr>
        <w:t xml:space="preserve">that </w:t>
      </w:r>
      <w:r w:rsidRPr="00F314C1">
        <w:rPr>
          <w:rFonts w:asciiTheme="minorHAnsi" w:hAnsiTheme="minorHAnsi"/>
          <w:color w:val="000000"/>
          <w:sz w:val="24"/>
          <w:szCs w:val="24"/>
        </w:rPr>
        <w:t>the primary traditional food consumed was fish</w:t>
      </w:r>
      <w:r w:rsidR="00F90056" w:rsidRPr="00F314C1">
        <w:rPr>
          <w:rFonts w:asciiTheme="minorHAnsi" w:hAnsiTheme="minorHAnsi"/>
          <w:color w:val="000000"/>
          <w:sz w:val="24"/>
          <w:szCs w:val="24"/>
        </w:rPr>
        <w:t>, which ranged from 68%</w:t>
      </w:r>
      <w:r w:rsidRPr="00F314C1">
        <w:rPr>
          <w:rFonts w:asciiTheme="minorHAnsi" w:hAnsiTheme="minorHAnsi"/>
          <w:color w:val="000000"/>
          <w:sz w:val="24"/>
          <w:szCs w:val="24"/>
        </w:rPr>
        <w:t xml:space="preserve"> of the traditional foods for the</w:t>
      </w:r>
      <w:r w:rsidR="00F90056" w:rsidRPr="00F314C1">
        <w:rPr>
          <w:rFonts w:asciiTheme="minorHAnsi" w:hAnsiTheme="minorHAnsi"/>
          <w:color w:val="000000"/>
          <w:sz w:val="24"/>
          <w:szCs w:val="24"/>
        </w:rPr>
        <w:t xml:space="preserve"> teenage age group to 76%</w:t>
      </w:r>
      <w:r w:rsidRPr="00F314C1">
        <w:rPr>
          <w:rFonts w:asciiTheme="minorHAnsi" w:hAnsiTheme="minorHAnsi"/>
          <w:color w:val="000000"/>
          <w:sz w:val="24"/>
          <w:szCs w:val="24"/>
        </w:rPr>
        <w:t xml:space="preserve"> of the traditional foods for </w:t>
      </w:r>
      <w:r w:rsidR="00A23ED1" w:rsidRPr="00F314C1">
        <w:rPr>
          <w:rFonts w:asciiTheme="minorHAnsi" w:hAnsiTheme="minorHAnsi"/>
          <w:color w:val="000000"/>
          <w:sz w:val="24"/>
          <w:szCs w:val="24"/>
        </w:rPr>
        <w:t xml:space="preserve">the </w:t>
      </w:r>
      <w:r w:rsidRPr="00F314C1">
        <w:rPr>
          <w:rFonts w:asciiTheme="minorHAnsi" w:hAnsiTheme="minorHAnsi"/>
          <w:color w:val="000000"/>
          <w:sz w:val="24"/>
          <w:szCs w:val="24"/>
        </w:rPr>
        <w:t xml:space="preserve">elder age </w:t>
      </w:r>
      <w:r w:rsidRPr="00F314C1">
        <w:rPr>
          <w:rFonts w:asciiTheme="minorHAnsi" w:hAnsiTheme="minorHAnsi"/>
          <w:color w:val="000000"/>
          <w:sz w:val="24"/>
          <w:szCs w:val="24"/>
        </w:rPr>
        <w:lastRenderedPageBreak/>
        <w:t>gro</w:t>
      </w:r>
      <w:r w:rsidR="002C6CE3" w:rsidRPr="00F314C1">
        <w:rPr>
          <w:rFonts w:asciiTheme="minorHAnsi" w:hAnsiTheme="minorHAnsi"/>
          <w:color w:val="000000"/>
          <w:sz w:val="24"/>
          <w:szCs w:val="24"/>
        </w:rPr>
        <w:t>up. Overall, fish comprised</w:t>
      </w:r>
      <w:r w:rsidR="00F90056" w:rsidRPr="00F314C1">
        <w:rPr>
          <w:rFonts w:asciiTheme="minorHAnsi" w:hAnsiTheme="minorHAnsi"/>
          <w:color w:val="000000"/>
          <w:sz w:val="24"/>
          <w:szCs w:val="24"/>
        </w:rPr>
        <w:t xml:space="preserve"> 70%</w:t>
      </w:r>
      <w:r w:rsidR="002C6CE3" w:rsidRPr="00F314C1">
        <w:rPr>
          <w:rFonts w:asciiTheme="minorHAnsi" w:hAnsiTheme="minorHAnsi"/>
          <w:color w:val="000000"/>
          <w:sz w:val="24"/>
          <w:szCs w:val="24"/>
        </w:rPr>
        <w:t xml:space="preserve"> of </w:t>
      </w:r>
      <w:r w:rsidRPr="00F314C1">
        <w:rPr>
          <w:rFonts w:asciiTheme="minorHAnsi" w:hAnsiTheme="minorHAnsi"/>
          <w:color w:val="000000"/>
          <w:sz w:val="24"/>
          <w:szCs w:val="24"/>
        </w:rPr>
        <w:t>traditional native foods</w:t>
      </w:r>
      <w:r w:rsidR="002C6CE3" w:rsidRPr="00F314C1">
        <w:rPr>
          <w:rFonts w:asciiTheme="minorHAnsi" w:hAnsiTheme="minorHAnsi"/>
          <w:color w:val="000000"/>
          <w:sz w:val="24"/>
          <w:szCs w:val="24"/>
        </w:rPr>
        <w:t xml:space="preserve"> </w:t>
      </w:r>
      <w:r w:rsidR="003048BF" w:rsidRPr="00F314C1">
        <w:rPr>
          <w:rFonts w:asciiTheme="minorHAnsi" w:hAnsiTheme="minorHAnsi"/>
          <w:color w:val="000000"/>
          <w:sz w:val="24"/>
          <w:szCs w:val="24"/>
        </w:rPr>
        <w:t>consumed</w:t>
      </w:r>
      <w:r w:rsidRPr="00F314C1">
        <w:rPr>
          <w:rFonts w:asciiTheme="minorHAnsi" w:hAnsiTheme="minorHAnsi"/>
          <w:color w:val="000000"/>
          <w:sz w:val="24"/>
          <w:szCs w:val="24"/>
        </w:rPr>
        <w:t>.</w:t>
      </w:r>
      <w:r w:rsidR="00B12DE1" w:rsidRPr="00F314C1">
        <w:rPr>
          <w:rFonts w:asciiTheme="minorHAnsi" w:hAnsiTheme="minorHAnsi"/>
          <w:color w:val="000000"/>
          <w:sz w:val="24"/>
          <w:szCs w:val="24"/>
        </w:rPr>
        <w:t xml:space="preserve"> The average fish ingestion rates ranged from </w:t>
      </w:r>
      <w:r w:rsidR="002F4746" w:rsidRPr="00F314C1">
        <w:rPr>
          <w:rFonts w:asciiTheme="minorHAnsi" w:hAnsiTheme="minorHAnsi"/>
          <w:color w:val="000000"/>
          <w:sz w:val="24"/>
          <w:szCs w:val="24"/>
        </w:rPr>
        <w:t>142</w:t>
      </w:r>
      <w:r w:rsidR="003048BF" w:rsidRPr="00F314C1">
        <w:rPr>
          <w:rFonts w:asciiTheme="minorHAnsi" w:hAnsiTheme="minorHAnsi"/>
          <w:color w:val="000000"/>
          <w:sz w:val="24"/>
          <w:szCs w:val="24"/>
        </w:rPr>
        <w:t xml:space="preserve"> g/day to </w:t>
      </w:r>
      <w:r w:rsidR="002F4746" w:rsidRPr="00F314C1">
        <w:rPr>
          <w:rFonts w:asciiTheme="minorHAnsi" w:hAnsiTheme="minorHAnsi"/>
          <w:color w:val="000000"/>
          <w:sz w:val="24"/>
          <w:szCs w:val="24"/>
        </w:rPr>
        <w:t>256 g/day,</w:t>
      </w:r>
      <w:r w:rsidR="00B12DE1" w:rsidRPr="00F314C1">
        <w:rPr>
          <w:rFonts w:asciiTheme="minorHAnsi" w:hAnsiTheme="minorHAnsi"/>
          <w:color w:val="000000"/>
          <w:sz w:val="24"/>
          <w:szCs w:val="24"/>
        </w:rPr>
        <w:t xml:space="preserve"> with an over</w:t>
      </w:r>
      <w:r w:rsidR="002F4746" w:rsidRPr="00F314C1">
        <w:rPr>
          <w:rFonts w:asciiTheme="minorHAnsi" w:hAnsiTheme="minorHAnsi"/>
          <w:color w:val="000000"/>
          <w:sz w:val="24"/>
          <w:szCs w:val="24"/>
        </w:rPr>
        <w:t xml:space="preserve">all </w:t>
      </w:r>
      <w:r w:rsidR="003048BF" w:rsidRPr="00F314C1">
        <w:rPr>
          <w:rFonts w:asciiTheme="minorHAnsi" w:hAnsiTheme="minorHAnsi"/>
          <w:color w:val="000000"/>
          <w:sz w:val="24"/>
          <w:szCs w:val="24"/>
        </w:rPr>
        <w:t xml:space="preserve">village-wide </w:t>
      </w:r>
      <w:r w:rsidR="002F4746" w:rsidRPr="00F314C1">
        <w:rPr>
          <w:rFonts w:asciiTheme="minorHAnsi" w:hAnsiTheme="minorHAnsi"/>
          <w:color w:val="000000"/>
          <w:sz w:val="24"/>
          <w:szCs w:val="24"/>
        </w:rPr>
        <w:t>average of 198</w:t>
      </w:r>
      <w:r w:rsidR="00B12DE1" w:rsidRPr="00F314C1">
        <w:rPr>
          <w:rFonts w:asciiTheme="minorHAnsi" w:hAnsiTheme="minorHAnsi"/>
          <w:color w:val="000000"/>
          <w:sz w:val="24"/>
          <w:szCs w:val="24"/>
        </w:rPr>
        <w:t xml:space="preserve"> </w:t>
      </w:r>
      <w:r w:rsidR="002F4746" w:rsidRPr="00F314C1">
        <w:rPr>
          <w:rFonts w:asciiTheme="minorHAnsi" w:hAnsiTheme="minorHAnsi"/>
          <w:color w:val="000000"/>
          <w:sz w:val="24"/>
          <w:szCs w:val="24"/>
        </w:rPr>
        <w:t>g</w:t>
      </w:r>
      <w:r w:rsidR="00B12DE1" w:rsidRPr="00F314C1">
        <w:rPr>
          <w:rFonts w:asciiTheme="minorHAnsi" w:hAnsiTheme="minorHAnsi"/>
          <w:color w:val="000000"/>
          <w:sz w:val="24"/>
          <w:szCs w:val="24"/>
        </w:rPr>
        <w:t>/day.</w:t>
      </w:r>
      <w:r w:rsidR="00C00C9C" w:rsidRPr="00F314C1">
        <w:rPr>
          <w:rFonts w:asciiTheme="minorHAnsi" w:hAnsiTheme="minorHAnsi"/>
          <w:color w:val="000000"/>
          <w:sz w:val="24"/>
          <w:szCs w:val="24"/>
        </w:rPr>
        <w:t xml:space="preserve"> At the request of village residents, ATSDR used a range of daily </w:t>
      </w:r>
      <w:r w:rsidR="007F6D08" w:rsidRPr="00F314C1">
        <w:rPr>
          <w:rFonts w:asciiTheme="minorHAnsi" w:hAnsiTheme="minorHAnsi"/>
          <w:color w:val="000000"/>
          <w:sz w:val="24"/>
          <w:szCs w:val="24"/>
        </w:rPr>
        <w:t>FCR</w:t>
      </w:r>
      <w:r w:rsidR="00C00C9C" w:rsidRPr="00F314C1">
        <w:rPr>
          <w:rFonts w:asciiTheme="minorHAnsi" w:hAnsiTheme="minorHAnsi"/>
          <w:color w:val="000000"/>
          <w:sz w:val="24"/>
          <w:szCs w:val="24"/>
        </w:rPr>
        <w:t xml:space="preserve">s to estimate residents’ </w:t>
      </w:r>
      <w:r w:rsidR="003048BF" w:rsidRPr="00F314C1">
        <w:rPr>
          <w:rFonts w:asciiTheme="minorHAnsi" w:hAnsiTheme="minorHAnsi"/>
          <w:color w:val="000000"/>
          <w:sz w:val="24"/>
          <w:szCs w:val="24"/>
        </w:rPr>
        <w:t xml:space="preserve">potential </w:t>
      </w:r>
      <w:r w:rsidR="00C00C9C" w:rsidRPr="00F314C1">
        <w:rPr>
          <w:rFonts w:asciiTheme="minorHAnsi" w:hAnsiTheme="minorHAnsi"/>
          <w:color w:val="000000"/>
          <w:sz w:val="24"/>
          <w:szCs w:val="24"/>
        </w:rPr>
        <w:t>exposure from eating Cook Inlet fish. Specifically, ATSDR used d</w:t>
      </w:r>
      <w:r w:rsidR="002F4746" w:rsidRPr="00F314C1">
        <w:rPr>
          <w:rFonts w:asciiTheme="minorHAnsi" w:hAnsiTheme="minorHAnsi"/>
          <w:color w:val="000000"/>
          <w:sz w:val="24"/>
          <w:szCs w:val="24"/>
        </w:rPr>
        <w:t>aily fish ingestion rate</w:t>
      </w:r>
      <w:r w:rsidR="003048BF" w:rsidRPr="00F314C1">
        <w:rPr>
          <w:rFonts w:asciiTheme="minorHAnsi" w:hAnsiTheme="minorHAnsi"/>
          <w:color w:val="000000"/>
          <w:sz w:val="24"/>
          <w:szCs w:val="24"/>
        </w:rPr>
        <w:t>s</w:t>
      </w:r>
      <w:r w:rsidR="002F4746" w:rsidRPr="00F314C1">
        <w:rPr>
          <w:rFonts w:asciiTheme="minorHAnsi" w:hAnsiTheme="minorHAnsi"/>
          <w:color w:val="000000"/>
          <w:sz w:val="24"/>
          <w:szCs w:val="24"/>
        </w:rPr>
        <w:t xml:space="preserve"> of 198 g/day, 397 g/day, and 510 g/day</w:t>
      </w:r>
      <w:r w:rsidR="00C00C9C" w:rsidRPr="00F314C1">
        <w:rPr>
          <w:rFonts w:asciiTheme="minorHAnsi" w:hAnsiTheme="minorHAnsi"/>
          <w:color w:val="000000"/>
          <w:sz w:val="24"/>
          <w:szCs w:val="24"/>
        </w:rPr>
        <w:t xml:space="preserve"> for adults. While t</w:t>
      </w:r>
      <w:r w:rsidR="002F4746" w:rsidRPr="00F314C1">
        <w:rPr>
          <w:rFonts w:asciiTheme="minorHAnsi" w:hAnsiTheme="minorHAnsi"/>
          <w:color w:val="000000"/>
          <w:sz w:val="24"/>
          <w:szCs w:val="24"/>
        </w:rPr>
        <w:t>he average for the village was 198 g/day</w:t>
      </w:r>
      <w:r w:rsidR="00C00C9C" w:rsidRPr="00F314C1">
        <w:rPr>
          <w:rFonts w:asciiTheme="minorHAnsi" w:hAnsiTheme="minorHAnsi"/>
          <w:color w:val="000000"/>
          <w:sz w:val="24"/>
          <w:szCs w:val="24"/>
        </w:rPr>
        <w:t xml:space="preserve"> per da</w:t>
      </w:r>
      <w:r w:rsidR="002F4746" w:rsidRPr="00F314C1">
        <w:rPr>
          <w:rFonts w:asciiTheme="minorHAnsi" w:hAnsiTheme="minorHAnsi"/>
          <w:color w:val="000000"/>
          <w:sz w:val="24"/>
          <w:szCs w:val="24"/>
        </w:rPr>
        <w:t>y, the upper estimates of 397 g/day and 510 g/day</w:t>
      </w:r>
      <w:r w:rsidR="00C00C9C" w:rsidRPr="00F314C1">
        <w:rPr>
          <w:rFonts w:asciiTheme="minorHAnsi" w:hAnsiTheme="minorHAnsi"/>
          <w:color w:val="000000"/>
          <w:sz w:val="24"/>
          <w:szCs w:val="24"/>
        </w:rPr>
        <w:t xml:space="preserve"> likely represent the </w:t>
      </w:r>
      <w:r w:rsidR="007F6D08" w:rsidRPr="00F314C1">
        <w:rPr>
          <w:rFonts w:asciiTheme="minorHAnsi" w:hAnsiTheme="minorHAnsi"/>
          <w:color w:val="000000"/>
          <w:sz w:val="24"/>
          <w:szCs w:val="24"/>
        </w:rPr>
        <w:t>FCR</w:t>
      </w:r>
      <w:r w:rsidR="00C00C9C" w:rsidRPr="00F314C1">
        <w:rPr>
          <w:rFonts w:asciiTheme="minorHAnsi" w:hAnsiTheme="minorHAnsi"/>
          <w:color w:val="000000"/>
          <w:sz w:val="24"/>
          <w:szCs w:val="24"/>
        </w:rPr>
        <w:t xml:space="preserve"> for some residents in the village who eat two fish meals a day.</w:t>
      </w:r>
    </w:p>
    <w:p w14:paraId="64987FE3" w14:textId="67DF4BE7" w:rsidR="00F902B6" w:rsidRPr="00F314C1" w:rsidRDefault="00F902B6" w:rsidP="00C379D4">
      <w:pPr>
        <w:pStyle w:val="Heading4"/>
        <w:jc w:val="both"/>
        <w:rPr>
          <w:sz w:val="24"/>
          <w:szCs w:val="24"/>
        </w:rPr>
      </w:pPr>
      <w:r w:rsidRPr="00F314C1">
        <w:rPr>
          <w:sz w:val="24"/>
          <w:szCs w:val="24"/>
        </w:rPr>
        <w:t xml:space="preserve">Applicability of the Data for use in Determining </w:t>
      </w:r>
      <w:r w:rsidR="007F6D08" w:rsidRPr="00F314C1">
        <w:rPr>
          <w:sz w:val="24"/>
          <w:szCs w:val="24"/>
        </w:rPr>
        <w:t>FCR</w:t>
      </w:r>
      <w:r w:rsidRPr="00F314C1">
        <w:rPr>
          <w:sz w:val="24"/>
          <w:szCs w:val="24"/>
        </w:rPr>
        <w:t>s</w:t>
      </w:r>
    </w:p>
    <w:p w14:paraId="64987FE4" w14:textId="48E3C67D" w:rsidR="002F009F" w:rsidRPr="00F314C1" w:rsidRDefault="002F009F" w:rsidP="00C379D4">
      <w:pPr>
        <w:jc w:val="both"/>
        <w:rPr>
          <w:rFonts w:asciiTheme="minorHAnsi" w:hAnsiTheme="minorHAnsi"/>
          <w:color w:val="000000"/>
          <w:sz w:val="24"/>
          <w:szCs w:val="24"/>
        </w:rPr>
      </w:pPr>
      <w:r w:rsidRPr="00F314C1">
        <w:rPr>
          <w:rFonts w:asciiTheme="minorHAnsi" w:hAnsiTheme="minorHAnsi"/>
          <w:color w:val="000000"/>
          <w:sz w:val="24"/>
          <w:szCs w:val="24"/>
        </w:rPr>
        <w:t xml:space="preserve">The survey provides data </w:t>
      </w:r>
      <w:r w:rsidR="00F70A5C" w:rsidRPr="00F314C1">
        <w:rPr>
          <w:rFonts w:asciiTheme="minorHAnsi" w:hAnsiTheme="minorHAnsi"/>
          <w:color w:val="000000"/>
          <w:sz w:val="24"/>
          <w:szCs w:val="24"/>
        </w:rPr>
        <w:t xml:space="preserve">that </w:t>
      </w:r>
      <w:r w:rsidRPr="00F314C1">
        <w:rPr>
          <w:rFonts w:asciiTheme="minorHAnsi" w:hAnsiTheme="minorHAnsi"/>
          <w:color w:val="000000"/>
          <w:sz w:val="24"/>
          <w:szCs w:val="24"/>
        </w:rPr>
        <w:t xml:space="preserve">can be used to estimate </w:t>
      </w:r>
      <w:r w:rsidR="000331FB" w:rsidRPr="00F314C1">
        <w:rPr>
          <w:rFonts w:asciiTheme="minorHAnsi" w:hAnsiTheme="minorHAnsi"/>
          <w:color w:val="000000"/>
          <w:sz w:val="24"/>
          <w:szCs w:val="24"/>
        </w:rPr>
        <w:t xml:space="preserve">general </w:t>
      </w:r>
      <w:r w:rsidRPr="00F314C1">
        <w:rPr>
          <w:rFonts w:asciiTheme="minorHAnsi" w:hAnsiTheme="minorHAnsi"/>
          <w:color w:val="000000"/>
          <w:sz w:val="24"/>
          <w:szCs w:val="24"/>
        </w:rPr>
        <w:t>fish consumption in the Village of Port Graham</w:t>
      </w:r>
      <w:r w:rsidR="00BA19C9" w:rsidRPr="00F314C1">
        <w:rPr>
          <w:rFonts w:asciiTheme="minorHAnsi" w:hAnsiTheme="minorHAnsi"/>
          <w:color w:val="000000"/>
          <w:sz w:val="24"/>
          <w:szCs w:val="24"/>
        </w:rPr>
        <w:t>. The</w:t>
      </w:r>
      <w:r w:rsidR="000331FB" w:rsidRPr="00F314C1">
        <w:rPr>
          <w:rFonts w:asciiTheme="minorHAnsi" w:hAnsiTheme="minorHAnsi"/>
          <w:color w:val="000000"/>
          <w:sz w:val="24"/>
          <w:szCs w:val="24"/>
        </w:rPr>
        <w:t xml:space="preserve"> consumption estimates may also be applicable for residents of other villages </w:t>
      </w:r>
      <w:r w:rsidR="00F70A5C" w:rsidRPr="00F314C1">
        <w:rPr>
          <w:rFonts w:asciiTheme="minorHAnsi" w:hAnsiTheme="minorHAnsi"/>
          <w:color w:val="000000"/>
          <w:sz w:val="24"/>
          <w:szCs w:val="24"/>
        </w:rPr>
        <w:t>in close proximity to</w:t>
      </w:r>
      <w:r w:rsidR="000331FB" w:rsidRPr="00F314C1">
        <w:rPr>
          <w:rFonts w:asciiTheme="minorHAnsi" w:hAnsiTheme="minorHAnsi"/>
          <w:color w:val="000000"/>
          <w:sz w:val="24"/>
          <w:szCs w:val="24"/>
        </w:rPr>
        <w:t xml:space="preserve"> Cook Inlet</w:t>
      </w:r>
      <w:r w:rsidRPr="00F314C1">
        <w:rPr>
          <w:rFonts w:asciiTheme="minorHAnsi" w:hAnsiTheme="minorHAnsi"/>
          <w:color w:val="000000"/>
          <w:sz w:val="24"/>
          <w:szCs w:val="24"/>
        </w:rPr>
        <w:t xml:space="preserve">. </w:t>
      </w:r>
      <w:r w:rsidR="00C37F69" w:rsidRPr="00F314C1">
        <w:rPr>
          <w:rFonts w:asciiTheme="minorHAnsi" w:hAnsiTheme="minorHAnsi"/>
          <w:color w:val="000000"/>
          <w:sz w:val="24"/>
          <w:szCs w:val="24"/>
        </w:rPr>
        <w:t xml:space="preserve">Several </w:t>
      </w:r>
      <w:r w:rsidR="000331FB" w:rsidRPr="00F314C1">
        <w:rPr>
          <w:rFonts w:asciiTheme="minorHAnsi" w:hAnsiTheme="minorHAnsi"/>
          <w:color w:val="000000"/>
          <w:sz w:val="24"/>
          <w:szCs w:val="24"/>
        </w:rPr>
        <w:t>limitations</w:t>
      </w:r>
      <w:r w:rsidR="00C37F69" w:rsidRPr="00F314C1">
        <w:rPr>
          <w:rFonts w:asciiTheme="minorHAnsi" w:hAnsiTheme="minorHAnsi"/>
          <w:color w:val="000000"/>
          <w:sz w:val="24"/>
          <w:szCs w:val="24"/>
        </w:rPr>
        <w:t xml:space="preserve"> to this study should be considered prior to using the data in FCR calculation</w:t>
      </w:r>
      <w:r w:rsidR="00F70A5C" w:rsidRPr="00F314C1">
        <w:rPr>
          <w:rFonts w:asciiTheme="minorHAnsi" w:hAnsiTheme="minorHAnsi"/>
          <w:color w:val="000000"/>
          <w:sz w:val="24"/>
          <w:szCs w:val="24"/>
        </w:rPr>
        <w:t>s</w:t>
      </w:r>
      <w:r w:rsidR="00C37F69" w:rsidRPr="00F314C1">
        <w:rPr>
          <w:rFonts w:asciiTheme="minorHAnsi" w:hAnsiTheme="minorHAnsi"/>
          <w:color w:val="000000"/>
          <w:sz w:val="24"/>
          <w:szCs w:val="24"/>
        </w:rPr>
        <w:t>.</w:t>
      </w:r>
      <w:r w:rsidR="00F70A5C" w:rsidRPr="00F314C1">
        <w:rPr>
          <w:rFonts w:asciiTheme="minorHAnsi" w:hAnsiTheme="minorHAnsi"/>
          <w:color w:val="000000"/>
          <w:sz w:val="24"/>
          <w:szCs w:val="24"/>
        </w:rPr>
        <w:t xml:space="preserve"> T</w:t>
      </w:r>
      <w:r w:rsidR="00BA19C9" w:rsidRPr="00F314C1">
        <w:rPr>
          <w:rFonts w:asciiTheme="minorHAnsi" w:hAnsiTheme="minorHAnsi"/>
          <w:color w:val="000000"/>
          <w:sz w:val="24"/>
          <w:szCs w:val="24"/>
        </w:rPr>
        <w:t xml:space="preserve">he </w:t>
      </w:r>
      <w:r w:rsidR="00C37F69" w:rsidRPr="00F314C1">
        <w:rPr>
          <w:rFonts w:asciiTheme="minorHAnsi" w:hAnsiTheme="minorHAnsi"/>
          <w:color w:val="000000"/>
          <w:sz w:val="24"/>
          <w:szCs w:val="24"/>
        </w:rPr>
        <w:t xml:space="preserve">survey size is considered to be </w:t>
      </w:r>
      <w:r w:rsidRPr="00F314C1">
        <w:rPr>
          <w:rFonts w:asciiTheme="minorHAnsi" w:hAnsiTheme="minorHAnsi"/>
          <w:color w:val="000000"/>
          <w:sz w:val="24"/>
          <w:szCs w:val="24"/>
        </w:rPr>
        <w:t xml:space="preserve">small </w:t>
      </w:r>
      <w:r w:rsidR="00BA19C9" w:rsidRPr="00F314C1">
        <w:rPr>
          <w:rFonts w:asciiTheme="minorHAnsi" w:hAnsiTheme="minorHAnsi"/>
          <w:color w:val="000000"/>
          <w:sz w:val="24"/>
          <w:szCs w:val="24"/>
        </w:rPr>
        <w:t xml:space="preserve">(particularly </w:t>
      </w:r>
      <w:r w:rsidR="00C37F69" w:rsidRPr="00F314C1">
        <w:rPr>
          <w:rFonts w:asciiTheme="minorHAnsi" w:hAnsiTheme="minorHAnsi"/>
          <w:color w:val="000000"/>
          <w:sz w:val="24"/>
          <w:szCs w:val="24"/>
        </w:rPr>
        <w:t xml:space="preserve">for </w:t>
      </w:r>
      <w:r w:rsidR="00BA19C9" w:rsidRPr="00F314C1">
        <w:rPr>
          <w:rFonts w:asciiTheme="minorHAnsi" w:hAnsiTheme="minorHAnsi"/>
          <w:color w:val="000000"/>
          <w:sz w:val="24"/>
          <w:szCs w:val="24"/>
        </w:rPr>
        <w:t>some age categories)</w:t>
      </w:r>
      <w:r w:rsidRPr="00F314C1">
        <w:rPr>
          <w:rFonts w:asciiTheme="minorHAnsi" w:hAnsiTheme="minorHAnsi"/>
          <w:color w:val="000000"/>
          <w:sz w:val="24"/>
          <w:szCs w:val="24"/>
        </w:rPr>
        <w:t xml:space="preserve"> </w:t>
      </w:r>
      <w:r w:rsidR="000331FB" w:rsidRPr="00F314C1">
        <w:rPr>
          <w:rFonts w:asciiTheme="minorHAnsi" w:hAnsiTheme="minorHAnsi"/>
          <w:color w:val="000000"/>
          <w:sz w:val="24"/>
          <w:szCs w:val="24"/>
        </w:rPr>
        <w:t xml:space="preserve">and </w:t>
      </w:r>
      <w:r w:rsidR="00C37F69" w:rsidRPr="00F314C1">
        <w:rPr>
          <w:rFonts w:asciiTheme="minorHAnsi" w:hAnsiTheme="minorHAnsi"/>
          <w:color w:val="000000"/>
          <w:sz w:val="24"/>
          <w:szCs w:val="24"/>
        </w:rPr>
        <w:t>the report provide</w:t>
      </w:r>
      <w:r w:rsidR="00F70A5C" w:rsidRPr="00F314C1">
        <w:rPr>
          <w:rFonts w:asciiTheme="minorHAnsi" w:hAnsiTheme="minorHAnsi"/>
          <w:color w:val="000000"/>
          <w:sz w:val="24"/>
          <w:szCs w:val="24"/>
        </w:rPr>
        <w:t>s</w:t>
      </w:r>
      <w:r w:rsidR="00C37F69" w:rsidRPr="00F314C1">
        <w:rPr>
          <w:rFonts w:asciiTheme="minorHAnsi" w:hAnsiTheme="minorHAnsi"/>
          <w:color w:val="000000"/>
          <w:sz w:val="24"/>
          <w:szCs w:val="24"/>
        </w:rPr>
        <w:t xml:space="preserve"> </w:t>
      </w:r>
      <w:r w:rsidR="00BA19C9" w:rsidRPr="00F314C1">
        <w:rPr>
          <w:rFonts w:asciiTheme="minorHAnsi" w:hAnsiTheme="minorHAnsi"/>
          <w:color w:val="000000"/>
          <w:sz w:val="24"/>
          <w:szCs w:val="24"/>
        </w:rPr>
        <w:t xml:space="preserve">limited detail </w:t>
      </w:r>
      <w:r w:rsidRPr="00F314C1">
        <w:rPr>
          <w:rFonts w:asciiTheme="minorHAnsi" w:hAnsiTheme="minorHAnsi"/>
          <w:color w:val="000000"/>
          <w:sz w:val="24"/>
          <w:szCs w:val="24"/>
        </w:rPr>
        <w:t xml:space="preserve">regarding data collection methods. Additionally, the </w:t>
      </w:r>
      <w:r w:rsidR="00C37F69" w:rsidRPr="00F314C1">
        <w:rPr>
          <w:rFonts w:asciiTheme="minorHAnsi" w:hAnsiTheme="minorHAnsi"/>
          <w:color w:val="000000"/>
          <w:sz w:val="24"/>
          <w:szCs w:val="24"/>
        </w:rPr>
        <w:t xml:space="preserve">analyses </w:t>
      </w:r>
      <w:r w:rsidRPr="00F314C1">
        <w:rPr>
          <w:rFonts w:asciiTheme="minorHAnsi" w:hAnsiTheme="minorHAnsi"/>
          <w:color w:val="000000"/>
          <w:sz w:val="24"/>
          <w:szCs w:val="24"/>
        </w:rPr>
        <w:t xml:space="preserve">conducted by ATSDR did not include information </w:t>
      </w:r>
      <w:r w:rsidR="006961D4" w:rsidRPr="00F314C1">
        <w:rPr>
          <w:rFonts w:asciiTheme="minorHAnsi" w:hAnsiTheme="minorHAnsi"/>
          <w:color w:val="000000"/>
          <w:sz w:val="24"/>
          <w:szCs w:val="24"/>
        </w:rPr>
        <w:t>on</w:t>
      </w:r>
      <w:r w:rsidRPr="00F314C1">
        <w:rPr>
          <w:rFonts w:asciiTheme="minorHAnsi" w:hAnsiTheme="minorHAnsi"/>
          <w:color w:val="000000"/>
          <w:sz w:val="24"/>
          <w:szCs w:val="24"/>
        </w:rPr>
        <w:t xml:space="preserve"> specific </w:t>
      </w:r>
      <w:r w:rsidR="000331FB" w:rsidRPr="00F314C1">
        <w:rPr>
          <w:rFonts w:asciiTheme="minorHAnsi" w:hAnsiTheme="minorHAnsi"/>
          <w:color w:val="000000"/>
          <w:sz w:val="24"/>
          <w:szCs w:val="24"/>
        </w:rPr>
        <w:t xml:space="preserve">fish </w:t>
      </w:r>
      <w:r w:rsidRPr="00F314C1">
        <w:rPr>
          <w:rFonts w:asciiTheme="minorHAnsi" w:hAnsiTheme="minorHAnsi"/>
          <w:color w:val="000000"/>
          <w:sz w:val="24"/>
          <w:szCs w:val="24"/>
        </w:rPr>
        <w:t xml:space="preserve">species consumed. </w:t>
      </w:r>
      <w:r w:rsidR="000331FB" w:rsidRPr="00F314C1">
        <w:rPr>
          <w:rFonts w:asciiTheme="minorHAnsi" w:hAnsiTheme="minorHAnsi"/>
          <w:color w:val="000000"/>
          <w:sz w:val="24"/>
          <w:szCs w:val="24"/>
        </w:rPr>
        <w:t xml:space="preserve">Although information on </w:t>
      </w:r>
      <w:r w:rsidRPr="00F314C1">
        <w:rPr>
          <w:rFonts w:asciiTheme="minorHAnsi" w:hAnsiTheme="minorHAnsi"/>
          <w:color w:val="000000"/>
          <w:sz w:val="24"/>
          <w:szCs w:val="24"/>
        </w:rPr>
        <w:t>specific species consumed may have been collected during the initial interviews, i</w:t>
      </w:r>
      <w:r w:rsidR="00C00C9C" w:rsidRPr="00F314C1">
        <w:rPr>
          <w:rFonts w:asciiTheme="minorHAnsi" w:hAnsiTheme="minorHAnsi"/>
          <w:color w:val="000000"/>
          <w:sz w:val="24"/>
          <w:szCs w:val="24"/>
        </w:rPr>
        <w:t>n accordance with the data-sharing agreement between the Village Council and</w:t>
      </w:r>
      <w:r w:rsidRPr="00F314C1">
        <w:rPr>
          <w:rFonts w:asciiTheme="minorHAnsi" w:hAnsiTheme="minorHAnsi"/>
          <w:color w:val="000000"/>
          <w:sz w:val="24"/>
          <w:szCs w:val="24"/>
        </w:rPr>
        <w:t xml:space="preserve"> ATSDR, all food survey data w</w:t>
      </w:r>
      <w:r w:rsidR="00906881" w:rsidRPr="00F314C1">
        <w:rPr>
          <w:rFonts w:asciiTheme="minorHAnsi" w:hAnsiTheme="minorHAnsi"/>
          <w:color w:val="000000"/>
          <w:sz w:val="24"/>
          <w:szCs w:val="24"/>
        </w:rPr>
        <w:t>ere</w:t>
      </w:r>
      <w:r w:rsidRPr="00F314C1">
        <w:rPr>
          <w:rFonts w:asciiTheme="minorHAnsi" w:hAnsiTheme="minorHAnsi"/>
          <w:color w:val="000000"/>
          <w:sz w:val="24"/>
          <w:szCs w:val="24"/>
        </w:rPr>
        <w:t xml:space="preserve"> </w:t>
      </w:r>
      <w:r w:rsidR="00C00C9C" w:rsidRPr="00F314C1">
        <w:rPr>
          <w:rFonts w:asciiTheme="minorHAnsi" w:hAnsiTheme="minorHAnsi"/>
          <w:color w:val="000000"/>
          <w:sz w:val="24"/>
          <w:szCs w:val="24"/>
        </w:rPr>
        <w:t>returned to the Council.</w:t>
      </w:r>
      <w:r w:rsidR="00E06B85" w:rsidRPr="00F314C1">
        <w:rPr>
          <w:rFonts w:asciiTheme="minorHAnsi" w:hAnsiTheme="minorHAnsi"/>
          <w:color w:val="000000"/>
          <w:sz w:val="24"/>
          <w:szCs w:val="24"/>
        </w:rPr>
        <w:t xml:space="preserve"> </w:t>
      </w:r>
      <w:r w:rsidRPr="00F314C1">
        <w:rPr>
          <w:rFonts w:asciiTheme="minorHAnsi" w:hAnsiTheme="minorHAnsi"/>
          <w:color w:val="000000"/>
          <w:sz w:val="24"/>
          <w:szCs w:val="24"/>
        </w:rPr>
        <w:t xml:space="preserve">The Port Graham Village Council expressed concern about the </w:t>
      </w:r>
      <w:r w:rsidR="00137CFE" w:rsidRPr="00F314C1">
        <w:rPr>
          <w:rFonts w:asciiTheme="minorHAnsi" w:hAnsiTheme="minorHAnsi"/>
          <w:color w:val="000000"/>
          <w:sz w:val="24"/>
          <w:szCs w:val="24"/>
        </w:rPr>
        <w:t xml:space="preserve">quality of the </w:t>
      </w:r>
      <w:r w:rsidRPr="00F314C1">
        <w:rPr>
          <w:rFonts w:asciiTheme="minorHAnsi" w:hAnsiTheme="minorHAnsi"/>
          <w:color w:val="000000"/>
          <w:sz w:val="24"/>
          <w:szCs w:val="24"/>
        </w:rPr>
        <w:t>data collected from the survey due to the voluntary nature of participation</w:t>
      </w:r>
      <w:r w:rsidR="00137CFE" w:rsidRPr="00F314C1">
        <w:rPr>
          <w:rFonts w:asciiTheme="minorHAnsi" w:hAnsiTheme="minorHAnsi"/>
          <w:color w:val="000000"/>
          <w:sz w:val="24"/>
          <w:szCs w:val="24"/>
        </w:rPr>
        <w:t>,</w:t>
      </w:r>
      <w:r w:rsidRPr="00F314C1">
        <w:rPr>
          <w:rFonts w:asciiTheme="minorHAnsi" w:hAnsiTheme="minorHAnsi"/>
          <w:color w:val="000000"/>
          <w:sz w:val="24"/>
          <w:szCs w:val="24"/>
        </w:rPr>
        <w:t xml:space="preserve"> and the potential for recall bias </w:t>
      </w:r>
      <w:r w:rsidR="000331FB" w:rsidRPr="00F314C1">
        <w:rPr>
          <w:rFonts w:asciiTheme="minorHAnsi" w:hAnsiTheme="minorHAnsi"/>
          <w:color w:val="000000"/>
          <w:sz w:val="24"/>
          <w:szCs w:val="24"/>
        </w:rPr>
        <w:t>(</w:t>
      </w:r>
      <w:r w:rsidRPr="00F314C1">
        <w:rPr>
          <w:rFonts w:asciiTheme="minorHAnsi" w:hAnsiTheme="minorHAnsi"/>
          <w:color w:val="000000"/>
          <w:sz w:val="24"/>
          <w:szCs w:val="24"/>
        </w:rPr>
        <w:t xml:space="preserve">residents </w:t>
      </w:r>
      <w:r w:rsidR="00BA19C9" w:rsidRPr="00F314C1">
        <w:rPr>
          <w:rFonts w:asciiTheme="minorHAnsi" w:hAnsiTheme="minorHAnsi"/>
          <w:color w:val="000000"/>
          <w:sz w:val="24"/>
          <w:szCs w:val="24"/>
        </w:rPr>
        <w:t xml:space="preserve">were asked </w:t>
      </w:r>
      <w:r w:rsidRPr="00F314C1">
        <w:rPr>
          <w:rFonts w:asciiTheme="minorHAnsi" w:hAnsiTheme="minorHAnsi"/>
          <w:color w:val="000000"/>
          <w:sz w:val="24"/>
          <w:szCs w:val="24"/>
        </w:rPr>
        <w:t xml:space="preserve">to estimate the amount of foods </w:t>
      </w:r>
      <w:r w:rsidR="006961D4" w:rsidRPr="00F314C1">
        <w:rPr>
          <w:rFonts w:asciiTheme="minorHAnsi" w:hAnsiTheme="minorHAnsi"/>
          <w:color w:val="000000"/>
          <w:sz w:val="24"/>
          <w:szCs w:val="24"/>
        </w:rPr>
        <w:t xml:space="preserve">consumed </w:t>
      </w:r>
      <w:r w:rsidR="00E06B85" w:rsidRPr="00F314C1">
        <w:rPr>
          <w:rFonts w:asciiTheme="minorHAnsi" w:hAnsiTheme="minorHAnsi"/>
          <w:color w:val="000000"/>
          <w:sz w:val="24"/>
          <w:szCs w:val="24"/>
        </w:rPr>
        <w:t>during a 12 month period</w:t>
      </w:r>
      <w:r w:rsidR="000331FB" w:rsidRPr="00F314C1">
        <w:rPr>
          <w:rFonts w:asciiTheme="minorHAnsi" w:hAnsiTheme="minorHAnsi"/>
          <w:color w:val="000000"/>
          <w:sz w:val="24"/>
          <w:szCs w:val="24"/>
        </w:rPr>
        <w:t>)</w:t>
      </w:r>
      <w:r w:rsidRPr="00F314C1">
        <w:rPr>
          <w:rFonts w:asciiTheme="minorHAnsi" w:hAnsiTheme="minorHAnsi"/>
          <w:color w:val="000000"/>
          <w:sz w:val="24"/>
          <w:szCs w:val="24"/>
        </w:rPr>
        <w:t xml:space="preserve">. The </w:t>
      </w:r>
      <w:r w:rsidR="00137CFE" w:rsidRPr="00F314C1">
        <w:rPr>
          <w:rFonts w:asciiTheme="minorHAnsi" w:hAnsiTheme="minorHAnsi"/>
          <w:color w:val="000000"/>
          <w:sz w:val="24"/>
          <w:szCs w:val="24"/>
        </w:rPr>
        <w:t xml:space="preserve">Village Council also noted that the interviewers who </w:t>
      </w:r>
      <w:r w:rsidRPr="00F314C1">
        <w:rPr>
          <w:rFonts w:asciiTheme="minorHAnsi" w:hAnsiTheme="minorHAnsi"/>
          <w:color w:val="000000"/>
          <w:sz w:val="24"/>
          <w:szCs w:val="24"/>
        </w:rPr>
        <w:t>collect</w:t>
      </w:r>
      <w:r w:rsidR="00137CFE" w:rsidRPr="00F314C1">
        <w:rPr>
          <w:rFonts w:asciiTheme="minorHAnsi" w:hAnsiTheme="minorHAnsi"/>
          <w:color w:val="000000"/>
          <w:sz w:val="24"/>
          <w:szCs w:val="24"/>
        </w:rPr>
        <w:t>ed</w:t>
      </w:r>
      <w:r w:rsidRPr="00F314C1">
        <w:rPr>
          <w:rFonts w:asciiTheme="minorHAnsi" w:hAnsiTheme="minorHAnsi"/>
          <w:color w:val="000000"/>
          <w:sz w:val="24"/>
          <w:szCs w:val="24"/>
        </w:rPr>
        <w:t xml:space="preserve"> the information were not familiar with traditional harvesting and gathering practices</w:t>
      </w:r>
      <w:r w:rsidR="00E06B85" w:rsidRPr="00F314C1">
        <w:rPr>
          <w:rFonts w:asciiTheme="minorHAnsi" w:hAnsiTheme="minorHAnsi"/>
          <w:color w:val="000000"/>
          <w:sz w:val="24"/>
          <w:szCs w:val="24"/>
        </w:rPr>
        <w:t>; therefore,</w:t>
      </w:r>
      <w:r w:rsidRPr="00F314C1">
        <w:rPr>
          <w:rFonts w:asciiTheme="minorHAnsi" w:hAnsiTheme="minorHAnsi"/>
          <w:color w:val="000000"/>
          <w:sz w:val="24"/>
          <w:szCs w:val="24"/>
        </w:rPr>
        <w:t xml:space="preserve"> </w:t>
      </w:r>
      <w:r w:rsidR="00137CFE" w:rsidRPr="00F314C1">
        <w:rPr>
          <w:rFonts w:asciiTheme="minorHAnsi" w:hAnsiTheme="minorHAnsi"/>
          <w:color w:val="000000"/>
          <w:sz w:val="24"/>
          <w:szCs w:val="24"/>
        </w:rPr>
        <w:t xml:space="preserve">consumption of </w:t>
      </w:r>
      <w:r w:rsidRPr="00F314C1">
        <w:rPr>
          <w:rFonts w:asciiTheme="minorHAnsi" w:hAnsiTheme="minorHAnsi"/>
          <w:color w:val="000000"/>
          <w:sz w:val="24"/>
          <w:szCs w:val="24"/>
        </w:rPr>
        <w:t>native foods</w:t>
      </w:r>
      <w:r w:rsidR="00137CFE" w:rsidRPr="00F314C1">
        <w:rPr>
          <w:rFonts w:asciiTheme="minorHAnsi" w:hAnsiTheme="minorHAnsi"/>
          <w:color w:val="000000"/>
          <w:sz w:val="24"/>
          <w:szCs w:val="24"/>
        </w:rPr>
        <w:t xml:space="preserve"> may</w:t>
      </w:r>
      <w:r w:rsidR="006B338C" w:rsidRPr="00F314C1">
        <w:rPr>
          <w:rFonts w:asciiTheme="minorHAnsi" w:hAnsiTheme="minorHAnsi"/>
          <w:color w:val="000000"/>
          <w:sz w:val="24"/>
          <w:szCs w:val="24"/>
        </w:rPr>
        <w:t xml:space="preserve"> </w:t>
      </w:r>
      <w:r w:rsidR="00FA3456" w:rsidRPr="00F314C1">
        <w:rPr>
          <w:rFonts w:asciiTheme="minorHAnsi" w:hAnsiTheme="minorHAnsi"/>
          <w:color w:val="000000"/>
          <w:sz w:val="24"/>
          <w:szCs w:val="24"/>
        </w:rPr>
        <w:t>have been</w:t>
      </w:r>
      <w:r w:rsidR="00137CFE" w:rsidRPr="00F314C1">
        <w:rPr>
          <w:rFonts w:asciiTheme="minorHAnsi" w:hAnsiTheme="minorHAnsi"/>
          <w:color w:val="000000"/>
          <w:sz w:val="24"/>
          <w:szCs w:val="24"/>
        </w:rPr>
        <w:t xml:space="preserve"> underreported</w:t>
      </w:r>
      <w:r w:rsidRPr="00F314C1">
        <w:rPr>
          <w:rFonts w:asciiTheme="minorHAnsi" w:hAnsiTheme="minorHAnsi"/>
          <w:color w:val="000000"/>
          <w:sz w:val="24"/>
          <w:szCs w:val="24"/>
        </w:rPr>
        <w:t xml:space="preserve">. </w:t>
      </w:r>
    </w:p>
    <w:p w14:paraId="64987FE5" w14:textId="77777777" w:rsidR="00506E43" w:rsidRPr="006D7010" w:rsidRDefault="00506E43" w:rsidP="00C379D4">
      <w:pPr>
        <w:pStyle w:val="Heading2"/>
        <w:spacing w:before="0" w:after="60"/>
        <w:jc w:val="both"/>
        <w:rPr>
          <w:szCs w:val="24"/>
        </w:rPr>
      </w:pPr>
      <w:bookmarkStart w:id="37" w:name="_Toc390121653"/>
      <w:r w:rsidRPr="00564F7E">
        <w:rPr>
          <w:szCs w:val="24"/>
        </w:rPr>
        <w:t>Investigation into Potential Exposures to Mercury Vapor in</w:t>
      </w:r>
      <w:r w:rsidRPr="00D9668A">
        <w:rPr>
          <w:szCs w:val="24"/>
        </w:rPr>
        <w:t xml:space="preserve"> Small-Scale and Recreational Mining – 2012: Nome Small Scale Mining Areas - Nome, Alaska</w:t>
      </w:r>
      <w:bookmarkEnd w:id="37"/>
    </w:p>
    <w:p w14:paraId="64987FE7" w14:textId="633F8117" w:rsidR="00506E43" w:rsidRPr="00F314C1" w:rsidRDefault="00506E43" w:rsidP="00C379D4">
      <w:pPr>
        <w:pStyle w:val="Heading3"/>
        <w:keepNext/>
        <w:spacing w:before="0" w:after="60"/>
        <w:jc w:val="both"/>
        <w:rPr>
          <w:sz w:val="24"/>
          <w:szCs w:val="24"/>
        </w:rPr>
      </w:pPr>
      <w:bookmarkStart w:id="38" w:name="_Toc390121654"/>
      <w:r w:rsidRPr="00F314C1">
        <w:rPr>
          <w:sz w:val="24"/>
          <w:szCs w:val="24"/>
        </w:rPr>
        <w:t>Alaska Department of Health and Social Services</w:t>
      </w:r>
      <w:bookmarkEnd w:id="38"/>
      <w:r w:rsidR="00284FB9" w:rsidRPr="00F314C1">
        <w:rPr>
          <w:sz w:val="24"/>
          <w:szCs w:val="24"/>
        </w:rPr>
        <w:t xml:space="preserve">, </w:t>
      </w:r>
      <w:bookmarkStart w:id="39" w:name="_Toc390121655"/>
      <w:r w:rsidRPr="00F314C1">
        <w:rPr>
          <w:sz w:val="24"/>
          <w:szCs w:val="24"/>
        </w:rPr>
        <w:t>September, 2013</w:t>
      </w:r>
      <w:bookmarkEnd w:id="39"/>
    </w:p>
    <w:p w14:paraId="64987FE8" w14:textId="77777777" w:rsidR="00AD19BF" w:rsidRPr="00F314C1" w:rsidRDefault="00AD19BF" w:rsidP="00C379D4">
      <w:pPr>
        <w:pStyle w:val="Heading4"/>
        <w:keepNext/>
        <w:jc w:val="both"/>
        <w:rPr>
          <w:sz w:val="24"/>
          <w:szCs w:val="24"/>
        </w:rPr>
      </w:pPr>
      <w:r w:rsidRPr="00F314C1">
        <w:rPr>
          <w:sz w:val="24"/>
          <w:szCs w:val="24"/>
        </w:rPr>
        <w:t xml:space="preserve">General Information </w:t>
      </w:r>
    </w:p>
    <w:p w14:paraId="64987FE9" w14:textId="283D346E" w:rsidR="00BA19C9" w:rsidRPr="00F314C1" w:rsidRDefault="00BA19C9" w:rsidP="00C379D4">
      <w:pPr>
        <w:keepNext/>
        <w:autoSpaceDE w:val="0"/>
        <w:autoSpaceDN w:val="0"/>
        <w:adjustRightInd w:val="0"/>
        <w:spacing w:after="0"/>
        <w:jc w:val="both"/>
        <w:rPr>
          <w:rFonts w:asciiTheme="minorHAnsi" w:hAnsiTheme="minorHAnsi"/>
          <w:color w:val="000000"/>
          <w:sz w:val="24"/>
          <w:szCs w:val="24"/>
        </w:rPr>
      </w:pPr>
      <w:r w:rsidRPr="00F314C1">
        <w:rPr>
          <w:rFonts w:asciiTheme="minorHAnsi" w:hAnsiTheme="minorHAnsi"/>
          <w:color w:val="000000"/>
          <w:sz w:val="24"/>
          <w:szCs w:val="24"/>
        </w:rPr>
        <w:t xml:space="preserve">The </w:t>
      </w:r>
      <w:r w:rsidR="00A23ED1" w:rsidRPr="00F314C1">
        <w:rPr>
          <w:rFonts w:asciiTheme="minorHAnsi" w:hAnsiTheme="minorHAnsi"/>
          <w:color w:val="000000"/>
          <w:sz w:val="24"/>
          <w:szCs w:val="24"/>
        </w:rPr>
        <w:t>DHSS</w:t>
      </w:r>
      <w:r w:rsidRPr="00F314C1">
        <w:rPr>
          <w:rFonts w:asciiTheme="minorHAnsi" w:hAnsiTheme="minorHAnsi"/>
          <w:color w:val="000000"/>
          <w:sz w:val="24"/>
          <w:szCs w:val="24"/>
        </w:rPr>
        <w:t xml:space="preserve"> Section of Epidemiology</w:t>
      </w:r>
      <w:r w:rsidR="00C1546D" w:rsidRPr="00F314C1">
        <w:rPr>
          <w:rFonts w:asciiTheme="minorHAnsi" w:hAnsiTheme="minorHAnsi"/>
          <w:color w:val="000000"/>
          <w:sz w:val="24"/>
          <w:szCs w:val="24"/>
        </w:rPr>
        <w:t>, in collaboration with federal and state partners, conducted an exposure investigation at the Nome Small-Scale Mining site in Nome, A</w:t>
      </w:r>
      <w:r w:rsidR="006C5785" w:rsidRPr="00F314C1">
        <w:rPr>
          <w:rFonts w:asciiTheme="minorHAnsi" w:hAnsiTheme="minorHAnsi"/>
          <w:color w:val="000000"/>
          <w:sz w:val="24"/>
          <w:szCs w:val="24"/>
        </w:rPr>
        <w:t>laska</w:t>
      </w:r>
      <w:r w:rsidR="00C1546D" w:rsidRPr="00F314C1">
        <w:rPr>
          <w:rFonts w:asciiTheme="minorHAnsi" w:hAnsiTheme="minorHAnsi"/>
          <w:color w:val="000000"/>
          <w:sz w:val="24"/>
          <w:szCs w:val="24"/>
        </w:rPr>
        <w:t>.</w:t>
      </w:r>
      <w:r w:rsidRPr="00F314C1">
        <w:rPr>
          <w:rFonts w:asciiTheme="minorHAnsi" w:hAnsiTheme="minorHAnsi"/>
          <w:color w:val="000000"/>
          <w:sz w:val="24"/>
          <w:szCs w:val="24"/>
        </w:rPr>
        <w:t xml:space="preserve"> </w:t>
      </w:r>
      <w:r w:rsidR="00F26B95" w:rsidRPr="00F314C1">
        <w:rPr>
          <w:rFonts w:asciiTheme="minorHAnsi" w:hAnsiTheme="minorHAnsi"/>
          <w:color w:val="000000"/>
          <w:sz w:val="24"/>
          <w:szCs w:val="24"/>
        </w:rPr>
        <w:t xml:space="preserve">Health officials </w:t>
      </w:r>
      <w:r w:rsidR="006C5785" w:rsidRPr="00F314C1">
        <w:rPr>
          <w:rFonts w:asciiTheme="minorHAnsi" w:hAnsiTheme="minorHAnsi"/>
          <w:color w:val="000000"/>
          <w:sz w:val="24"/>
          <w:szCs w:val="24"/>
        </w:rPr>
        <w:t xml:space="preserve">had expressed </w:t>
      </w:r>
      <w:r w:rsidR="00F26B95" w:rsidRPr="00F314C1">
        <w:rPr>
          <w:rFonts w:asciiTheme="minorHAnsi" w:hAnsiTheme="minorHAnsi"/>
          <w:color w:val="000000"/>
          <w:sz w:val="24"/>
          <w:szCs w:val="24"/>
        </w:rPr>
        <w:t>concerned that miners a</w:t>
      </w:r>
      <w:r w:rsidR="00C1546D" w:rsidRPr="00F314C1">
        <w:rPr>
          <w:rFonts w:asciiTheme="minorHAnsi" w:hAnsiTheme="minorHAnsi"/>
          <w:color w:val="000000"/>
          <w:sz w:val="24"/>
          <w:szCs w:val="24"/>
        </w:rPr>
        <w:t>t th</w:t>
      </w:r>
      <w:r w:rsidR="002F0D5F" w:rsidRPr="00F314C1">
        <w:rPr>
          <w:rFonts w:asciiTheme="minorHAnsi" w:hAnsiTheme="minorHAnsi"/>
          <w:color w:val="000000"/>
          <w:sz w:val="24"/>
          <w:szCs w:val="24"/>
        </w:rPr>
        <w:t>e</w:t>
      </w:r>
      <w:r w:rsidR="00C1546D" w:rsidRPr="00F314C1">
        <w:rPr>
          <w:rFonts w:asciiTheme="minorHAnsi" w:hAnsiTheme="minorHAnsi"/>
          <w:color w:val="000000"/>
          <w:sz w:val="24"/>
          <w:szCs w:val="24"/>
        </w:rPr>
        <w:t xml:space="preserve"> site</w:t>
      </w:r>
      <w:r w:rsidR="00F26B95" w:rsidRPr="00F314C1">
        <w:rPr>
          <w:rFonts w:asciiTheme="minorHAnsi" w:hAnsiTheme="minorHAnsi"/>
          <w:color w:val="000000"/>
          <w:sz w:val="24"/>
          <w:szCs w:val="24"/>
        </w:rPr>
        <w:t xml:space="preserve"> </w:t>
      </w:r>
      <w:r w:rsidRPr="00F314C1">
        <w:rPr>
          <w:rFonts w:asciiTheme="minorHAnsi" w:hAnsiTheme="minorHAnsi"/>
          <w:color w:val="000000"/>
          <w:sz w:val="24"/>
          <w:szCs w:val="24"/>
        </w:rPr>
        <w:t>were potentially exposed to mercury vapor from</w:t>
      </w:r>
      <w:r w:rsidR="00F26B95" w:rsidRPr="00F314C1">
        <w:rPr>
          <w:rFonts w:asciiTheme="minorHAnsi" w:hAnsiTheme="minorHAnsi"/>
          <w:color w:val="000000"/>
          <w:sz w:val="24"/>
          <w:szCs w:val="24"/>
        </w:rPr>
        <w:t xml:space="preserve"> </w:t>
      </w:r>
      <w:r w:rsidRPr="00F314C1">
        <w:rPr>
          <w:rFonts w:asciiTheme="minorHAnsi" w:hAnsiTheme="minorHAnsi"/>
          <w:color w:val="000000"/>
          <w:sz w:val="24"/>
          <w:szCs w:val="24"/>
        </w:rPr>
        <w:t>mining</w:t>
      </w:r>
      <w:r w:rsidR="006C5785" w:rsidRPr="00F314C1">
        <w:rPr>
          <w:rFonts w:asciiTheme="minorHAnsi" w:hAnsiTheme="minorHAnsi"/>
          <w:color w:val="000000"/>
          <w:sz w:val="24"/>
          <w:szCs w:val="24"/>
        </w:rPr>
        <w:t xml:space="preserve"> operations</w:t>
      </w:r>
      <w:r w:rsidRPr="00F314C1">
        <w:rPr>
          <w:rFonts w:asciiTheme="minorHAnsi" w:hAnsiTheme="minorHAnsi"/>
          <w:color w:val="000000"/>
          <w:sz w:val="24"/>
          <w:szCs w:val="24"/>
        </w:rPr>
        <w:t>, purifying, and heating gold.</w:t>
      </w:r>
      <w:r w:rsidR="00F26B95" w:rsidRPr="00F314C1">
        <w:rPr>
          <w:rFonts w:asciiTheme="minorHAnsi" w:hAnsiTheme="minorHAnsi"/>
          <w:color w:val="000000"/>
          <w:sz w:val="24"/>
          <w:szCs w:val="24"/>
        </w:rPr>
        <w:t xml:space="preserve"> The exposure investigation</w:t>
      </w:r>
      <w:r w:rsidRPr="00F314C1">
        <w:rPr>
          <w:rFonts w:asciiTheme="minorHAnsi" w:hAnsiTheme="minorHAnsi"/>
          <w:color w:val="000000"/>
          <w:sz w:val="24"/>
          <w:szCs w:val="24"/>
        </w:rPr>
        <w:t xml:space="preserve"> assessed urine</w:t>
      </w:r>
      <w:r w:rsidR="00F26B95" w:rsidRPr="00F314C1">
        <w:rPr>
          <w:rFonts w:asciiTheme="minorHAnsi" w:hAnsiTheme="minorHAnsi"/>
          <w:color w:val="000000"/>
          <w:sz w:val="24"/>
          <w:szCs w:val="24"/>
        </w:rPr>
        <w:t xml:space="preserve"> </w:t>
      </w:r>
      <w:r w:rsidRPr="00F314C1">
        <w:rPr>
          <w:rFonts w:asciiTheme="minorHAnsi" w:hAnsiTheme="minorHAnsi"/>
          <w:color w:val="000000"/>
          <w:sz w:val="24"/>
          <w:szCs w:val="24"/>
        </w:rPr>
        <w:t>mercury levels in 18 people who may have been exposed to mercury</w:t>
      </w:r>
      <w:r w:rsidR="00F26B95" w:rsidRPr="00F314C1">
        <w:rPr>
          <w:rFonts w:asciiTheme="minorHAnsi" w:hAnsiTheme="minorHAnsi"/>
          <w:color w:val="000000"/>
          <w:sz w:val="24"/>
          <w:szCs w:val="24"/>
        </w:rPr>
        <w:t xml:space="preserve"> </w:t>
      </w:r>
      <w:r w:rsidRPr="00F314C1">
        <w:rPr>
          <w:rFonts w:asciiTheme="minorHAnsi" w:hAnsiTheme="minorHAnsi"/>
          <w:color w:val="000000"/>
          <w:sz w:val="24"/>
          <w:szCs w:val="24"/>
        </w:rPr>
        <w:t xml:space="preserve">from gold mining and gold processing activities. </w:t>
      </w:r>
      <w:r w:rsidR="00F26B95" w:rsidRPr="00F314C1">
        <w:rPr>
          <w:rFonts w:asciiTheme="minorHAnsi" w:hAnsiTheme="minorHAnsi"/>
          <w:color w:val="000000"/>
          <w:sz w:val="24"/>
          <w:szCs w:val="24"/>
        </w:rPr>
        <w:t>In an effort to assess the potential pathways of mercury exposure</w:t>
      </w:r>
      <w:r w:rsidR="004964BF" w:rsidRPr="00F314C1">
        <w:rPr>
          <w:rFonts w:asciiTheme="minorHAnsi" w:hAnsiTheme="minorHAnsi"/>
          <w:color w:val="000000"/>
          <w:sz w:val="24"/>
          <w:szCs w:val="24"/>
        </w:rPr>
        <w:t>,</w:t>
      </w:r>
      <w:r w:rsidR="00F26B95" w:rsidRPr="00F314C1">
        <w:rPr>
          <w:rFonts w:asciiTheme="minorHAnsi" w:hAnsiTheme="minorHAnsi"/>
          <w:color w:val="000000"/>
          <w:sz w:val="24"/>
          <w:szCs w:val="24"/>
        </w:rPr>
        <w:t xml:space="preserve"> </w:t>
      </w:r>
      <w:r w:rsidR="004964BF" w:rsidRPr="00F314C1">
        <w:rPr>
          <w:rFonts w:asciiTheme="minorHAnsi" w:hAnsiTheme="minorHAnsi"/>
          <w:color w:val="000000"/>
          <w:sz w:val="24"/>
          <w:szCs w:val="24"/>
        </w:rPr>
        <w:t>a questionnaire was administered to participants</w:t>
      </w:r>
      <w:r w:rsidR="006C5785" w:rsidRPr="00F314C1">
        <w:rPr>
          <w:rFonts w:asciiTheme="minorHAnsi" w:hAnsiTheme="minorHAnsi"/>
          <w:color w:val="000000"/>
          <w:sz w:val="24"/>
          <w:szCs w:val="24"/>
        </w:rPr>
        <w:t>,</w:t>
      </w:r>
      <w:r w:rsidR="004964BF" w:rsidRPr="00F314C1">
        <w:rPr>
          <w:rFonts w:asciiTheme="minorHAnsi" w:hAnsiTheme="minorHAnsi"/>
          <w:color w:val="000000"/>
          <w:sz w:val="24"/>
          <w:szCs w:val="24"/>
        </w:rPr>
        <w:t xml:space="preserve"> which captured information </w:t>
      </w:r>
      <w:r w:rsidR="002F0D5F" w:rsidRPr="00F314C1">
        <w:rPr>
          <w:rFonts w:asciiTheme="minorHAnsi" w:hAnsiTheme="minorHAnsi"/>
          <w:color w:val="000000"/>
          <w:sz w:val="24"/>
          <w:szCs w:val="24"/>
        </w:rPr>
        <w:t>on</w:t>
      </w:r>
      <w:r w:rsidR="004964BF" w:rsidRPr="00F314C1">
        <w:rPr>
          <w:rFonts w:asciiTheme="minorHAnsi" w:hAnsiTheme="minorHAnsi"/>
          <w:color w:val="000000"/>
          <w:sz w:val="24"/>
          <w:szCs w:val="24"/>
        </w:rPr>
        <w:t xml:space="preserve"> fish consumption.</w:t>
      </w:r>
    </w:p>
    <w:p w14:paraId="64987FEA" w14:textId="77777777" w:rsidR="00AD19BF" w:rsidRPr="00F314C1" w:rsidRDefault="00AD19BF" w:rsidP="00C379D4">
      <w:pPr>
        <w:pStyle w:val="Heading4"/>
        <w:jc w:val="both"/>
        <w:rPr>
          <w:sz w:val="24"/>
          <w:szCs w:val="24"/>
        </w:rPr>
      </w:pPr>
      <w:r w:rsidRPr="00F314C1">
        <w:rPr>
          <w:sz w:val="24"/>
          <w:szCs w:val="24"/>
        </w:rPr>
        <w:t>Study Population</w:t>
      </w:r>
    </w:p>
    <w:p w14:paraId="64987FEB" w14:textId="388574EB" w:rsidR="00F26B95" w:rsidRPr="00F314C1" w:rsidRDefault="004964BF" w:rsidP="00C379D4">
      <w:pPr>
        <w:autoSpaceDE w:val="0"/>
        <w:autoSpaceDN w:val="0"/>
        <w:adjustRightInd w:val="0"/>
        <w:spacing w:after="0"/>
        <w:jc w:val="both"/>
        <w:rPr>
          <w:rFonts w:asciiTheme="minorHAnsi" w:hAnsiTheme="minorHAnsi"/>
          <w:color w:val="000000"/>
          <w:sz w:val="24"/>
          <w:szCs w:val="24"/>
        </w:rPr>
      </w:pPr>
      <w:r w:rsidRPr="00F314C1">
        <w:rPr>
          <w:rFonts w:asciiTheme="minorHAnsi" w:hAnsiTheme="minorHAnsi"/>
          <w:color w:val="000000"/>
          <w:sz w:val="24"/>
          <w:szCs w:val="24"/>
        </w:rPr>
        <w:lastRenderedPageBreak/>
        <w:t>Participation in the study was voluntary,</w:t>
      </w:r>
      <w:r w:rsidR="003F3732" w:rsidRPr="00F314C1">
        <w:rPr>
          <w:rFonts w:asciiTheme="minorHAnsi" w:hAnsiTheme="minorHAnsi"/>
          <w:color w:val="000000"/>
          <w:sz w:val="24"/>
          <w:szCs w:val="24"/>
        </w:rPr>
        <w:t xml:space="preserve"> and any</w:t>
      </w:r>
      <w:r w:rsidRPr="00F314C1">
        <w:rPr>
          <w:rFonts w:asciiTheme="minorHAnsi" w:hAnsiTheme="minorHAnsi"/>
          <w:color w:val="000000"/>
          <w:sz w:val="24"/>
          <w:szCs w:val="24"/>
        </w:rPr>
        <w:t xml:space="preserve"> gold miners who reported contact with mercury or gold amalgams were eligible to</w:t>
      </w:r>
      <w:r w:rsidR="002C6CE3" w:rsidRPr="00F314C1">
        <w:rPr>
          <w:rFonts w:asciiTheme="minorHAnsi" w:hAnsiTheme="minorHAnsi"/>
          <w:color w:val="000000"/>
          <w:sz w:val="24"/>
          <w:szCs w:val="24"/>
        </w:rPr>
        <w:t xml:space="preserve"> participate. Also</w:t>
      </w:r>
      <w:r w:rsidR="0064594A" w:rsidRPr="00F314C1">
        <w:rPr>
          <w:rFonts w:asciiTheme="minorHAnsi" w:hAnsiTheme="minorHAnsi"/>
          <w:color w:val="000000"/>
          <w:sz w:val="24"/>
          <w:szCs w:val="24"/>
        </w:rPr>
        <w:t>,</w:t>
      </w:r>
      <w:r w:rsidR="002C6CE3" w:rsidRPr="00F314C1">
        <w:rPr>
          <w:rFonts w:asciiTheme="minorHAnsi" w:hAnsiTheme="minorHAnsi"/>
          <w:color w:val="000000"/>
          <w:sz w:val="24"/>
          <w:szCs w:val="24"/>
        </w:rPr>
        <w:t xml:space="preserve"> people over seven</w:t>
      </w:r>
      <w:r w:rsidRPr="00F314C1">
        <w:rPr>
          <w:rFonts w:asciiTheme="minorHAnsi" w:hAnsiTheme="minorHAnsi"/>
          <w:color w:val="000000"/>
          <w:sz w:val="24"/>
          <w:szCs w:val="24"/>
        </w:rPr>
        <w:t xml:space="preserve"> years of age who reported being near miners or others who may have</w:t>
      </w:r>
      <w:r w:rsidR="0064594A" w:rsidRPr="00F314C1">
        <w:rPr>
          <w:rFonts w:asciiTheme="minorHAnsi" w:hAnsiTheme="minorHAnsi"/>
          <w:color w:val="000000"/>
          <w:sz w:val="24"/>
          <w:szCs w:val="24"/>
        </w:rPr>
        <w:t xml:space="preserve"> been</w:t>
      </w:r>
      <w:r w:rsidRPr="00F314C1">
        <w:rPr>
          <w:rFonts w:asciiTheme="minorHAnsi" w:hAnsiTheme="minorHAnsi"/>
          <w:color w:val="000000"/>
          <w:sz w:val="24"/>
          <w:szCs w:val="24"/>
        </w:rPr>
        <w:t xml:space="preserve"> exposed to mercury in the three weeks prior to testing</w:t>
      </w:r>
      <w:r w:rsidR="003F3732" w:rsidRPr="00F314C1">
        <w:rPr>
          <w:rFonts w:asciiTheme="minorHAnsi" w:hAnsiTheme="minorHAnsi"/>
          <w:color w:val="000000"/>
          <w:sz w:val="24"/>
          <w:szCs w:val="24"/>
        </w:rPr>
        <w:t xml:space="preserve"> were eligible</w:t>
      </w:r>
      <w:r w:rsidRPr="00F314C1">
        <w:rPr>
          <w:rFonts w:asciiTheme="minorHAnsi" w:hAnsiTheme="minorHAnsi"/>
          <w:color w:val="000000"/>
          <w:sz w:val="24"/>
          <w:szCs w:val="24"/>
        </w:rPr>
        <w:t xml:space="preserve">. </w:t>
      </w:r>
      <w:r w:rsidR="00F26B95" w:rsidRPr="00F314C1">
        <w:rPr>
          <w:rFonts w:asciiTheme="minorHAnsi" w:hAnsiTheme="minorHAnsi"/>
          <w:color w:val="000000"/>
          <w:sz w:val="24"/>
          <w:szCs w:val="24"/>
        </w:rPr>
        <w:t xml:space="preserve">Participants included 15 gold miners, one person who frequently heated gold, and two </w:t>
      </w:r>
      <w:r w:rsidRPr="00F314C1">
        <w:rPr>
          <w:rFonts w:asciiTheme="minorHAnsi" w:hAnsiTheme="minorHAnsi"/>
          <w:color w:val="000000"/>
          <w:sz w:val="24"/>
          <w:szCs w:val="24"/>
        </w:rPr>
        <w:t xml:space="preserve">residents whose homes were in close proximity to </w:t>
      </w:r>
      <w:r w:rsidR="00906881" w:rsidRPr="00F314C1">
        <w:rPr>
          <w:rFonts w:asciiTheme="minorHAnsi" w:hAnsiTheme="minorHAnsi"/>
          <w:color w:val="000000"/>
          <w:sz w:val="24"/>
          <w:szCs w:val="24"/>
        </w:rPr>
        <w:t>a</w:t>
      </w:r>
      <w:r w:rsidRPr="00F314C1">
        <w:rPr>
          <w:rFonts w:asciiTheme="minorHAnsi" w:hAnsiTheme="minorHAnsi"/>
          <w:color w:val="000000"/>
          <w:sz w:val="24"/>
          <w:szCs w:val="24"/>
        </w:rPr>
        <w:t xml:space="preserve"> gold heating operation</w:t>
      </w:r>
      <w:r w:rsidR="00F26B95" w:rsidRPr="00F314C1">
        <w:rPr>
          <w:rFonts w:asciiTheme="minorHAnsi" w:hAnsiTheme="minorHAnsi"/>
          <w:color w:val="000000"/>
          <w:sz w:val="24"/>
          <w:szCs w:val="24"/>
        </w:rPr>
        <w:t>.</w:t>
      </w:r>
    </w:p>
    <w:p w14:paraId="64987FEC" w14:textId="77777777" w:rsidR="00AD19BF" w:rsidRPr="00F314C1" w:rsidRDefault="00AD19BF" w:rsidP="00C379D4">
      <w:pPr>
        <w:pStyle w:val="Heading4"/>
        <w:jc w:val="both"/>
        <w:rPr>
          <w:sz w:val="24"/>
          <w:szCs w:val="24"/>
        </w:rPr>
      </w:pPr>
      <w:r w:rsidRPr="00F314C1">
        <w:rPr>
          <w:sz w:val="24"/>
          <w:szCs w:val="24"/>
        </w:rPr>
        <w:t>Data Collection Methods</w:t>
      </w:r>
    </w:p>
    <w:p w14:paraId="64987FED" w14:textId="0E8FD9AF" w:rsidR="004964BF" w:rsidRPr="00F314C1" w:rsidRDefault="004964BF" w:rsidP="00C379D4">
      <w:pPr>
        <w:autoSpaceDE w:val="0"/>
        <w:autoSpaceDN w:val="0"/>
        <w:adjustRightInd w:val="0"/>
        <w:spacing w:after="0"/>
        <w:jc w:val="both"/>
        <w:rPr>
          <w:rFonts w:asciiTheme="minorHAnsi" w:hAnsiTheme="minorHAnsi"/>
          <w:color w:val="000000"/>
          <w:sz w:val="24"/>
          <w:szCs w:val="24"/>
        </w:rPr>
      </w:pPr>
      <w:r w:rsidRPr="00F314C1">
        <w:rPr>
          <w:rFonts w:asciiTheme="minorHAnsi" w:hAnsiTheme="minorHAnsi"/>
          <w:color w:val="000000"/>
          <w:sz w:val="24"/>
          <w:szCs w:val="24"/>
        </w:rPr>
        <w:t xml:space="preserve">The exposure questionnaire was administered in person by the </w:t>
      </w:r>
      <w:r w:rsidR="00DB1D81" w:rsidRPr="00F314C1">
        <w:rPr>
          <w:rFonts w:asciiTheme="minorHAnsi" w:hAnsiTheme="minorHAnsi"/>
          <w:color w:val="000000"/>
          <w:sz w:val="24"/>
          <w:szCs w:val="24"/>
        </w:rPr>
        <w:t xml:space="preserve">DHSS </w:t>
      </w:r>
      <w:r w:rsidRPr="00F314C1">
        <w:rPr>
          <w:rFonts w:asciiTheme="minorHAnsi" w:hAnsiTheme="minorHAnsi"/>
          <w:color w:val="000000"/>
          <w:sz w:val="24"/>
          <w:szCs w:val="24"/>
        </w:rPr>
        <w:t xml:space="preserve">Section of Epidemiology, and data collected </w:t>
      </w:r>
      <w:r w:rsidR="003F3732" w:rsidRPr="00F314C1">
        <w:rPr>
          <w:rFonts w:asciiTheme="minorHAnsi" w:hAnsiTheme="minorHAnsi"/>
          <w:color w:val="000000"/>
          <w:sz w:val="24"/>
          <w:szCs w:val="24"/>
        </w:rPr>
        <w:t xml:space="preserve">were </w:t>
      </w:r>
      <w:r w:rsidRPr="00F314C1">
        <w:rPr>
          <w:rFonts w:asciiTheme="minorHAnsi" w:hAnsiTheme="minorHAnsi"/>
          <w:color w:val="000000"/>
          <w:sz w:val="24"/>
          <w:szCs w:val="24"/>
        </w:rPr>
        <w:t xml:space="preserve">reviewed by ATSDR personnel. The questionnaire was </w:t>
      </w:r>
      <w:r w:rsidR="00D60373" w:rsidRPr="00F314C1">
        <w:rPr>
          <w:rFonts w:asciiTheme="minorHAnsi" w:hAnsiTheme="minorHAnsi"/>
          <w:color w:val="000000"/>
          <w:sz w:val="24"/>
          <w:szCs w:val="24"/>
        </w:rPr>
        <w:t>used to</w:t>
      </w:r>
      <w:r w:rsidRPr="00F314C1">
        <w:rPr>
          <w:rFonts w:asciiTheme="minorHAnsi" w:hAnsiTheme="minorHAnsi"/>
          <w:color w:val="000000"/>
          <w:sz w:val="24"/>
          <w:szCs w:val="24"/>
        </w:rPr>
        <w:t xml:space="preserve"> collect information </w:t>
      </w:r>
      <w:r w:rsidR="00D60373" w:rsidRPr="00F314C1">
        <w:rPr>
          <w:rFonts w:asciiTheme="minorHAnsi" w:hAnsiTheme="minorHAnsi"/>
          <w:color w:val="000000"/>
          <w:sz w:val="24"/>
          <w:szCs w:val="24"/>
        </w:rPr>
        <w:t xml:space="preserve">from </w:t>
      </w:r>
      <w:r w:rsidRPr="00F314C1">
        <w:rPr>
          <w:rFonts w:asciiTheme="minorHAnsi" w:hAnsiTheme="minorHAnsi"/>
          <w:color w:val="000000"/>
          <w:sz w:val="24"/>
          <w:szCs w:val="24"/>
        </w:rPr>
        <w:t xml:space="preserve">gold </w:t>
      </w:r>
      <w:r w:rsidR="005D14EF" w:rsidRPr="00F314C1">
        <w:rPr>
          <w:rFonts w:asciiTheme="minorHAnsi" w:hAnsiTheme="minorHAnsi"/>
          <w:color w:val="000000"/>
          <w:sz w:val="24"/>
          <w:szCs w:val="24"/>
        </w:rPr>
        <w:t>miners, members</w:t>
      </w:r>
      <w:r w:rsidRPr="00F314C1">
        <w:rPr>
          <w:rFonts w:asciiTheme="minorHAnsi" w:hAnsiTheme="minorHAnsi"/>
          <w:color w:val="000000"/>
          <w:sz w:val="24"/>
          <w:szCs w:val="24"/>
        </w:rPr>
        <w:t xml:space="preserve"> of their households</w:t>
      </w:r>
      <w:r w:rsidR="005D14EF" w:rsidRPr="00F314C1">
        <w:rPr>
          <w:rFonts w:asciiTheme="minorHAnsi" w:hAnsiTheme="minorHAnsi"/>
          <w:color w:val="000000"/>
          <w:sz w:val="24"/>
          <w:szCs w:val="24"/>
        </w:rPr>
        <w:t xml:space="preserve"> and residents of the community</w:t>
      </w:r>
      <w:r w:rsidRPr="00F314C1">
        <w:rPr>
          <w:rFonts w:asciiTheme="minorHAnsi" w:hAnsiTheme="minorHAnsi"/>
          <w:color w:val="000000"/>
          <w:sz w:val="24"/>
          <w:szCs w:val="24"/>
        </w:rPr>
        <w:t xml:space="preserve"> </w:t>
      </w:r>
      <w:r w:rsidR="00D60373" w:rsidRPr="00F314C1">
        <w:rPr>
          <w:rFonts w:asciiTheme="minorHAnsi" w:hAnsiTheme="minorHAnsi"/>
          <w:color w:val="000000"/>
          <w:sz w:val="24"/>
          <w:szCs w:val="24"/>
        </w:rPr>
        <w:t xml:space="preserve">on their </w:t>
      </w:r>
      <w:r w:rsidRPr="00F314C1">
        <w:rPr>
          <w:rFonts w:asciiTheme="minorHAnsi" w:hAnsiTheme="minorHAnsi"/>
          <w:color w:val="000000"/>
          <w:sz w:val="24"/>
          <w:szCs w:val="24"/>
        </w:rPr>
        <w:t>mercury exposure f</w:t>
      </w:r>
      <w:r w:rsidR="002C6CE3" w:rsidRPr="00F314C1">
        <w:rPr>
          <w:rFonts w:asciiTheme="minorHAnsi" w:hAnsiTheme="minorHAnsi"/>
          <w:color w:val="000000"/>
          <w:sz w:val="24"/>
          <w:szCs w:val="24"/>
        </w:rPr>
        <w:t xml:space="preserve">rom </w:t>
      </w:r>
      <w:r w:rsidR="005D14EF" w:rsidRPr="00F314C1">
        <w:rPr>
          <w:rFonts w:asciiTheme="minorHAnsi" w:hAnsiTheme="minorHAnsi"/>
          <w:color w:val="000000"/>
          <w:sz w:val="24"/>
          <w:szCs w:val="24"/>
        </w:rPr>
        <w:t xml:space="preserve">indoor and outdoor </w:t>
      </w:r>
      <w:r w:rsidR="002C6CE3" w:rsidRPr="00F314C1">
        <w:rPr>
          <w:rFonts w:asciiTheme="minorHAnsi" w:hAnsiTheme="minorHAnsi"/>
          <w:color w:val="000000"/>
          <w:sz w:val="24"/>
          <w:szCs w:val="24"/>
        </w:rPr>
        <w:t>environment</w:t>
      </w:r>
      <w:r w:rsidR="005D14EF" w:rsidRPr="00F314C1">
        <w:rPr>
          <w:rFonts w:asciiTheme="minorHAnsi" w:hAnsiTheme="minorHAnsi"/>
          <w:color w:val="000000"/>
          <w:sz w:val="24"/>
          <w:szCs w:val="24"/>
        </w:rPr>
        <w:t>s</w:t>
      </w:r>
      <w:r w:rsidR="002C6CE3" w:rsidRPr="00F314C1">
        <w:rPr>
          <w:rFonts w:asciiTheme="minorHAnsi" w:hAnsiTheme="minorHAnsi"/>
          <w:color w:val="000000"/>
          <w:sz w:val="24"/>
          <w:szCs w:val="24"/>
        </w:rPr>
        <w:t xml:space="preserve"> </w:t>
      </w:r>
      <w:r w:rsidRPr="00F314C1">
        <w:rPr>
          <w:rFonts w:asciiTheme="minorHAnsi" w:hAnsiTheme="minorHAnsi"/>
          <w:color w:val="000000"/>
          <w:sz w:val="24"/>
          <w:szCs w:val="24"/>
        </w:rPr>
        <w:t xml:space="preserve">in the three weeks prior to the exposure investigation. </w:t>
      </w:r>
    </w:p>
    <w:p w14:paraId="64987FEE" w14:textId="77777777" w:rsidR="00AD19BF" w:rsidRPr="00F314C1" w:rsidRDefault="00AD19BF" w:rsidP="00C379D4">
      <w:pPr>
        <w:pStyle w:val="Heading4"/>
        <w:jc w:val="both"/>
        <w:rPr>
          <w:sz w:val="24"/>
          <w:szCs w:val="24"/>
        </w:rPr>
      </w:pPr>
      <w:r w:rsidRPr="00F314C1">
        <w:rPr>
          <w:sz w:val="24"/>
          <w:szCs w:val="24"/>
        </w:rPr>
        <w:t xml:space="preserve">Description of Data </w:t>
      </w:r>
    </w:p>
    <w:p w14:paraId="64987FEF" w14:textId="54FE3649" w:rsidR="00B32208" w:rsidRPr="00F314C1" w:rsidRDefault="00B32208" w:rsidP="00C379D4">
      <w:pPr>
        <w:jc w:val="both"/>
        <w:rPr>
          <w:rFonts w:asciiTheme="minorHAnsi" w:hAnsiTheme="minorHAnsi"/>
          <w:sz w:val="24"/>
          <w:szCs w:val="24"/>
        </w:rPr>
      </w:pPr>
      <w:r w:rsidRPr="00F314C1">
        <w:rPr>
          <w:rFonts w:asciiTheme="minorHAnsi" w:hAnsiTheme="minorHAnsi"/>
          <w:sz w:val="24"/>
          <w:szCs w:val="24"/>
        </w:rPr>
        <w:t xml:space="preserve">Study participants were </w:t>
      </w:r>
      <w:r w:rsidR="003A2A53" w:rsidRPr="00F314C1">
        <w:rPr>
          <w:rFonts w:asciiTheme="minorHAnsi" w:hAnsiTheme="minorHAnsi"/>
          <w:sz w:val="24"/>
          <w:szCs w:val="24"/>
        </w:rPr>
        <w:t xml:space="preserve">asked if they </w:t>
      </w:r>
      <w:r w:rsidR="00A23ED1" w:rsidRPr="00F314C1">
        <w:rPr>
          <w:rFonts w:asciiTheme="minorHAnsi" w:hAnsiTheme="minorHAnsi"/>
          <w:sz w:val="24"/>
          <w:szCs w:val="24"/>
        </w:rPr>
        <w:t>had</w:t>
      </w:r>
      <w:r w:rsidR="00DB1D81" w:rsidRPr="00F314C1">
        <w:rPr>
          <w:rFonts w:asciiTheme="minorHAnsi" w:hAnsiTheme="minorHAnsi"/>
          <w:sz w:val="24"/>
          <w:szCs w:val="24"/>
        </w:rPr>
        <w:t xml:space="preserve"> consumed </w:t>
      </w:r>
      <w:r w:rsidR="003A2A53" w:rsidRPr="00F314C1">
        <w:rPr>
          <w:rFonts w:asciiTheme="minorHAnsi" w:hAnsiTheme="minorHAnsi"/>
          <w:sz w:val="24"/>
          <w:szCs w:val="24"/>
        </w:rPr>
        <w:t xml:space="preserve">fish (including smoked or dried) that they </w:t>
      </w:r>
      <w:r w:rsidRPr="00F314C1">
        <w:rPr>
          <w:rFonts w:asciiTheme="minorHAnsi" w:hAnsiTheme="minorHAnsi"/>
          <w:sz w:val="24"/>
          <w:szCs w:val="24"/>
        </w:rPr>
        <w:t>caught</w:t>
      </w:r>
      <w:r w:rsidR="003A2A53" w:rsidRPr="00F314C1">
        <w:rPr>
          <w:rFonts w:asciiTheme="minorHAnsi" w:hAnsiTheme="minorHAnsi"/>
          <w:sz w:val="24"/>
          <w:szCs w:val="24"/>
        </w:rPr>
        <w:t xml:space="preserve"> themselves</w:t>
      </w:r>
      <w:r w:rsidRPr="00F314C1">
        <w:rPr>
          <w:rFonts w:asciiTheme="minorHAnsi" w:hAnsiTheme="minorHAnsi"/>
          <w:sz w:val="24"/>
          <w:szCs w:val="24"/>
        </w:rPr>
        <w:t>, at</w:t>
      </w:r>
      <w:r w:rsidR="003A2A53" w:rsidRPr="00F314C1">
        <w:rPr>
          <w:rFonts w:asciiTheme="minorHAnsi" w:hAnsiTheme="minorHAnsi"/>
          <w:sz w:val="24"/>
          <w:szCs w:val="24"/>
        </w:rPr>
        <w:t>e at a restaurant, ate at home</w:t>
      </w:r>
      <w:r w:rsidR="003F3732" w:rsidRPr="00F314C1">
        <w:rPr>
          <w:rFonts w:asciiTheme="minorHAnsi" w:hAnsiTheme="minorHAnsi"/>
          <w:sz w:val="24"/>
          <w:szCs w:val="24"/>
        </w:rPr>
        <w:t>,</w:t>
      </w:r>
      <w:r w:rsidR="003A2A53" w:rsidRPr="00F314C1">
        <w:rPr>
          <w:rFonts w:asciiTheme="minorHAnsi" w:hAnsiTheme="minorHAnsi"/>
          <w:sz w:val="24"/>
          <w:szCs w:val="24"/>
        </w:rPr>
        <w:t xml:space="preserve"> or </w:t>
      </w:r>
      <w:r w:rsidRPr="00F314C1">
        <w:rPr>
          <w:rFonts w:asciiTheme="minorHAnsi" w:hAnsiTheme="minorHAnsi"/>
          <w:sz w:val="24"/>
          <w:szCs w:val="24"/>
        </w:rPr>
        <w:t xml:space="preserve">ate from </w:t>
      </w:r>
      <w:r w:rsidR="003F3732" w:rsidRPr="00F314C1">
        <w:rPr>
          <w:rFonts w:asciiTheme="minorHAnsi" w:hAnsiTheme="minorHAnsi"/>
          <w:sz w:val="24"/>
          <w:szCs w:val="24"/>
        </w:rPr>
        <w:t xml:space="preserve">a </w:t>
      </w:r>
      <w:r w:rsidR="003A2A53" w:rsidRPr="00F314C1">
        <w:rPr>
          <w:rFonts w:asciiTheme="minorHAnsi" w:hAnsiTheme="minorHAnsi"/>
          <w:sz w:val="24"/>
          <w:szCs w:val="24"/>
        </w:rPr>
        <w:t>can (</w:t>
      </w:r>
      <w:r w:rsidR="00D60373" w:rsidRPr="00F314C1">
        <w:rPr>
          <w:rFonts w:asciiTheme="minorHAnsi" w:hAnsiTheme="minorHAnsi"/>
          <w:sz w:val="24"/>
          <w:szCs w:val="24"/>
        </w:rPr>
        <w:t xml:space="preserve">e.g., </w:t>
      </w:r>
      <w:r w:rsidR="003A2A53" w:rsidRPr="00F314C1">
        <w:rPr>
          <w:rFonts w:asciiTheme="minorHAnsi" w:hAnsiTheme="minorHAnsi"/>
          <w:sz w:val="24"/>
          <w:szCs w:val="24"/>
        </w:rPr>
        <w:t>canned tuna)</w:t>
      </w:r>
      <w:r w:rsidR="00171673" w:rsidRPr="00F314C1">
        <w:rPr>
          <w:rFonts w:asciiTheme="minorHAnsi" w:hAnsiTheme="minorHAnsi"/>
          <w:sz w:val="24"/>
          <w:szCs w:val="24"/>
        </w:rPr>
        <w:t xml:space="preserve"> within the previous three weeks</w:t>
      </w:r>
      <w:r w:rsidR="003A2A53" w:rsidRPr="00F314C1">
        <w:rPr>
          <w:rFonts w:asciiTheme="minorHAnsi" w:hAnsiTheme="minorHAnsi"/>
          <w:sz w:val="24"/>
          <w:szCs w:val="24"/>
        </w:rPr>
        <w:t xml:space="preserve">. </w:t>
      </w:r>
      <w:r w:rsidR="00AD5FEB" w:rsidRPr="00F314C1">
        <w:rPr>
          <w:rFonts w:asciiTheme="minorHAnsi" w:hAnsiTheme="minorHAnsi"/>
          <w:sz w:val="24"/>
          <w:szCs w:val="24"/>
        </w:rPr>
        <w:t>Participants who consumed fish</w:t>
      </w:r>
      <w:r w:rsidR="00171673" w:rsidRPr="00F314C1">
        <w:rPr>
          <w:rFonts w:asciiTheme="minorHAnsi" w:hAnsiTheme="minorHAnsi"/>
          <w:sz w:val="24"/>
          <w:szCs w:val="24"/>
        </w:rPr>
        <w:t xml:space="preserve"> during that time</w:t>
      </w:r>
      <w:r w:rsidR="00AD5FEB" w:rsidRPr="00F314C1">
        <w:rPr>
          <w:rFonts w:asciiTheme="minorHAnsi" w:hAnsiTheme="minorHAnsi"/>
          <w:sz w:val="24"/>
          <w:szCs w:val="24"/>
        </w:rPr>
        <w:t xml:space="preserve"> were asked to specify </w:t>
      </w:r>
      <w:r w:rsidR="003A2A53" w:rsidRPr="00F314C1">
        <w:rPr>
          <w:rFonts w:asciiTheme="minorHAnsi" w:hAnsiTheme="minorHAnsi"/>
          <w:sz w:val="24"/>
          <w:szCs w:val="24"/>
        </w:rPr>
        <w:t xml:space="preserve">the quantity and type of fish </w:t>
      </w:r>
      <w:r w:rsidR="00D60373" w:rsidRPr="00F314C1">
        <w:rPr>
          <w:rFonts w:asciiTheme="minorHAnsi" w:hAnsiTheme="minorHAnsi"/>
          <w:sz w:val="24"/>
          <w:szCs w:val="24"/>
        </w:rPr>
        <w:t xml:space="preserve">consumed </w:t>
      </w:r>
      <w:r w:rsidR="003A2A53" w:rsidRPr="00F314C1">
        <w:rPr>
          <w:rFonts w:asciiTheme="minorHAnsi" w:hAnsiTheme="minorHAnsi"/>
          <w:sz w:val="24"/>
          <w:szCs w:val="24"/>
        </w:rPr>
        <w:t xml:space="preserve">at various intervals throughout the previous </w:t>
      </w:r>
      <w:r w:rsidR="00AD5FEB" w:rsidRPr="00F314C1">
        <w:rPr>
          <w:rFonts w:asciiTheme="minorHAnsi" w:hAnsiTheme="minorHAnsi"/>
          <w:sz w:val="24"/>
          <w:szCs w:val="24"/>
        </w:rPr>
        <w:t xml:space="preserve">three </w:t>
      </w:r>
      <w:r w:rsidR="003A2A53" w:rsidRPr="00F314C1">
        <w:rPr>
          <w:rFonts w:asciiTheme="minorHAnsi" w:hAnsiTheme="minorHAnsi"/>
          <w:sz w:val="24"/>
          <w:szCs w:val="24"/>
        </w:rPr>
        <w:t>weeks (</w:t>
      </w:r>
      <w:r w:rsidR="00AD5FEB" w:rsidRPr="00F314C1">
        <w:rPr>
          <w:rFonts w:asciiTheme="minorHAnsi" w:hAnsiTheme="minorHAnsi"/>
          <w:sz w:val="24"/>
          <w:szCs w:val="24"/>
        </w:rPr>
        <w:t xml:space="preserve">i.e., </w:t>
      </w:r>
      <w:r w:rsidR="002C6CE3" w:rsidRPr="00F314C1">
        <w:rPr>
          <w:rFonts w:asciiTheme="minorHAnsi" w:hAnsiTheme="minorHAnsi"/>
          <w:sz w:val="24"/>
          <w:szCs w:val="24"/>
        </w:rPr>
        <w:t xml:space="preserve">24 hours, one week, two weeks, </w:t>
      </w:r>
      <w:r w:rsidR="00D60373" w:rsidRPr="00F314C1">
        <w:rPr>
          <w:rFonts w:asciiTheme="minorHAnsi" w:hAnsiTheme="minorHAnsi"/>
          <w:sz w:val="24"/>
          <w:szCs w:val="24"/>
        </w:rPr>
        <w:t xml:space="preserve">and </w:t>
      </w:r>
      <w:r w:rsidR="002C6CE3" w:rsidRPr="00F314C1">
        <w:rPr>
          <w:rFonts w:asciiTheme="minorHAnsi" w:hAnsiTheme="minorHAnsi"/>
          <w:sz w:val="24"/>
          <w:szCs w:val="24"/>
        </w:rPr>
        <w:t>three</w:t>
      </w:r>
      <w:r w:rsidR="003A2A53" w:rsidRPr="00F314C1">
        <w:rPr>
          <w:rFonts w:asciiTheme="minorHAnsi" w:hAnsiTheme="minorHAnsi"/>
          <w:sz w:val="24"/>
          <w:szCs w:val="24"/>
        </w:rPr>
        <w:t xml:space="preserve"> weeks).</w:t>
      </w:r>
    </w:p>
    <w:p w14:paraId="64987FF0" w14:textId="77777777" w:rsidR="00AD19BF" w:rsidRPr="00F314C1" w:rsidRDefault="00AD19BF" w:rsidP="00C379D4">
      <w:pPr>
        <w:keepNext/>
        <w:jc w:val="both"/>
        <w:rPr>
          <w:i/>
          <w:sz w:val="24"/>
          <w:szCs w:val="24"/>
        </w:rPr>
      </w:pPr>
      <w:r w:rsidRPr="00F314C1">
        <w:rPr>
          <w:i/>
          <w:sz w:val="24"/>
          <w:szCs w:val="24"/>
        </w:rPr>
        <w:t>QA/QC Procedures</w:t>
      </w:r>
    </w:p>
    <w:p w14:paraId="64987FF1" w14:textId="00B25D66" w:rsidR="004964BF" w:rsidRPr="00F314C1" w:rsidRDefault="004964BF" w:rsidP="00C379D4">
      <w:pPr>
        <w:keepNext/>
        <w:autoSpaceDE w:val="0"/>
        <w:autoSpaceDN w:val="0"/>
        <w:adjustRightInd w:val="0"/>
        <w:spacing w:after="0"/>
        <w:jc w:val="both"/>
        <w:rPr>
          <w:rFonts w:asciiTheme="minorHAnsi" w:hAnsiTheme="minorHAnsi"/>
          <w:color w:val="000000"/>
          <w:sz w:val="24"/>
          <w:szCs w:val="24"/>
        </w:rPr>
      </w:pPr>
      <w:r w:rsidRPr="00F314C1">
        <w:rPr>
          <w:rFonts w:asciiTheme="minorHAnsi" w:hAnsiTheme="minorHAnsi"/>
          <w:color w:val="000000"/>
          <w:sz w:val="24"/>
          <w:szCs w:val="24"/>
        </w:rPr>
        <w:t>The health consultation report note</w:t>
      </w:r>
      <w:r w:rsidR="00A974C4" w:rsidRPr="00F314C1">
        <w:rPr>
          <w:rFonts w:asciiTheme="minorHAnsi" w:hAnsiTheme="minorHAnsi"/>
          <w:color w:val="000000"/>
          <w:sz w:val="24"/>
          <w:szCs w:val="24"/>
        </w:rPr>
        <w:t>s</w:t>
      </w:r>
      <w:r w:rsidRPr="00F314C1">
        <w:rPr>
          <w:rFonts w:asciiTheme="minorHAnsi" w:hAnsiTheme="minorHAnsi"/>
          <w:color w:val="000000"/>
          <w:sz w:val="24"/>
          <w:szCs w:val="24"/>
        </w:rPr>
        <w:t xml:space="preserve"> that the questionnaire was not fully validated or tested prior to administration.</w:t>
      </w:r>
      <w:r w:rsidR="003A2A53" w:rsidRPr="00F314C1">
        <w:rPr>
          <w:rFonts w:asciiTheme="minorHAnsi" w:hAnsiTheme="minorHAnsi"/>
          <w:color w:val="000000"/>
          <w:sz w:val="24"/>
          <w:szCs w:val="24"/>
        </w:rPr>
        <w:t xml:space="preserve"> Additional detail on QA/QC on collection and analysis of the questionnaire data was not provided.</w:t>
      </w:r>
    </w:p>
    <w:p w14:paraId="64987FF2" w14:textId="77777777" w:rsidR="00AD19BF" w:rsidRPr="00F314C1" w:rsidRDefault="00AD19BF" w:rsidP="00C379D4">
      <w:pPr>
        <w:pStyle w:val="Heading4"/>
        <w:jc w:val="both"/>
        <w:rPr>
          <w:sz w:val="24"/>
          <w:szCs w:val="24"/>
        </w:rPr>
      </w:pPr>
      <w:r w:rsidRPr="00F314C1">
        <w:rPr>
          <w:sz w:val="24"/>
          <w:szCs w:val="24"/>
        </w:rPr>
        <w:t xml:space="preserve">Findings on Fish Consumption </w:t>
      </w:r>
    </w:p>
    <w:p w14:paraId="64987FF3" w14:textId="3648ECB6" w:rsidR="003A2A53" w:rsidRPr="00F314C1" w:rsidRDefault="003A2A53" w:rsidP="00C379D4">
      <w:pPr>
        <w:jc w:val="both"/>
        <w:rPr>
          <w:rFonts w:asciiTheme="minorHAnsi" w:hAnsiTheme="minorHAnsi"/>
          <w:sz w:val="24"/>
          <w:szCs w:val="24"/>
        </w:rPr>
      </w:pPr>
      <w:r w:rsidRPr="00F314C1">
        <w:rPr>
          <w:rFonts w:asciiTheme="minorHAnsi" w:hAnsiTheme="minorHAnsi"/>
          <w:sz w:val="24"/>
          <w:szCs w:val="24"/>
        </w:rPr>
        <w:t>Data collected on fish consumption w</w:t>
      </w:r>
      <w:r w:rsidR="00906881" w:rsidRPr="00F314C1">
        <w:rPr>
          <w:rFonts w:asciiTheme="minorHAnsi" w:hAnsiTheme="minorHAnsi"/>
          <w:sz w:val="24"/>
          <w:szCs w:val="24"/>
        </w:rPr>
        <w:t>ere</w:t>
      </w:r>
      <w:r w:rsidRPr="00F314C1">
        <w:rPr>
          <w:rFonts w:asciiTheme="minorHAnsi" w:hAnsiTheme="minorHAnsi"/>
          <w:sz w:val="24"/>
          <w:szCs w:val="24"/>
        </w:rPr>
        <w:t xml:space="preserve"> not presented in the report.</w:t>
      </w:r>
    </w:p>
    <w:p w14:paraId="64987FF4" w14:textId="696ECC59" w:rsidR="00AD19BF" w:rsidRPr="00F314C1" w:rsidRDefault="00AD19BF" w:rsidP="00C379D4">
      <w:pPr>
        <w:pStyle w:val="Heading4"/>
        <w:keepNext/>
        <w:jc w:val="both"/>
        <w:rPr>
          <w:sz w:val="24"/>
          <w:szCs w:val="24"/>
        </w:rPr>
      </w:pPr>
      <w:r w:rsidRPr="00F314C1">
        <w:rPr>
          <w:sz w:val="24"/>
          <w:szCs w:val="24"/>
        </w:rPr>
        <w:t xml:space="preserve">Applicability of the Data for use in Determining </w:t>
      </w:r>
      <w:r w:rsidR="007F6D08" w:rsidRPr="00F314C1">
        <w:rPr>
          <w:sz w:val="24"/>
          <w:szCs w:val="24"/>
        </w:rPr>
        <w:t>FCR</w:t>
      </w:r>
      <w:r w:rsidRPr="00F314C1">
        <w:rPr>
          <w:sz w:val="24"/>
          <w:szCs w:val="24"/>
        </w:rPr>
        <w:t>s</w:t>
      </w:r>
    </w:p>
    <w:p w14:paraId="64987FF5" w14:textId="204CB3A1" w:rsidR="00F902B6" w:rsidRPr="00F314C1" w:rsidRDefault="00BB6468" w:rsidP="00C379D4">
      <w:pPr>
        <w:keepNext/>
        <w:spacing w:after="240"/>
        <w:jc w:val="both"/>
        <w:rPr>
          <w:rFonts w:asciiTheme="minorHAnsi" w:hAnsiTheme="minorHAnsi"/>
          <w:sz w:val="24"/>
          <w:szCs w:val="24"/>
        </w:rPr>
      </w:pPr>
      <w:r w:rsidRPr="00F314C1">
        <w:rPr>
          <w:rFonts w:asciiTheme="minorHAnsi" w:hAnsiTheme="minorHAnsi"/>
          <w:sz w:val="24"/>
          <w:szCs w:val="24"/>
        </w:rPr>
        <w:t>The information collected on fish consumption was not presented in th</w:t>
      </w:r>
      <w:r w:rsidR="00A974C4" w:rsidRPr="00F314C1">
        <w:rPr>
          <w:rFonts w:asciiTheme="minorHAnsi" w:hAnsiTheme="minorHAnsi"/>
          <w:sz w:val="24"/>
          <w:szCs w:val="24"/>
        </w:rPr>
        <w:t>e</w:t>
      </w:r>
      <w:r w:rsidRPr="00F314C1">
        <w:rPr>
          <w:rFonts w:asciiTheme="minorHAnsi" w:hAnsiTheme="minorHAnsi"/>
          <w:sz w:val="24"/>
          <w:szCs w:val="24"/>
        </w:rPr>
        <w:t xml:space="preserve"> report, so it is not possible to assess the</w:t>
      </w:r>
      <w:r w:rsidR="0086194B" w:rsidRPr="00F314C1">
        <w:rPr>
          <w:rFonts w:asciiTheme="minorHAnsi" w:hAnsiTheme="minorHAnsi"/>
          <w:sz w:val="24"/>
          <w:szCs w:val="24"/>
        </w:rPr>
        <w:t xml:space="preserve"> significance</w:t>
      </w:r>
      <w:r w:rsidRPr="00F314C1">
        <w:rPr>
          <w:rFonts w:asciiTheme="minorHAnsi" w:hAnsiTheme="minorHAnsi"/>
          <w:sz w:val="24"/>
          <w:szCs w:val="24"/>
        </w:rPr>
        <w:t xml:space="preserve"> or completeness of the </w:t>
      </w:r>
      <w:r w:rsidR="00DB1D81" w:rsidRPr="00F314C1">
        <w:rPr>
          <w:rFonts w:asciiTheme="minorHAnsi" w:hAnsiTheme="minorHAnsi"/>
          <w:sz w:val="24"/>
          <w:szCs w:val="24"/>
        </w:rPr>
        <w:t xml:space="preserve">fish consumption </w:t>
      </w:r>
      <w:r w:rsidRPr="00F314C1">
        <w:rPr>
          <w:rFonts w:asciiTheme="minorHAnsi" w:hAnsiTheme="minorHAnsi"/>
          <w:sz w:val="24"/>
          <w:szCs w:val="24"/>
        </w:rPr>
        <w:t xml:space="preserve">data. Additionally, the investigation had a small sample size, and was not intended to be distributed in a representative manner across age and gender. There is likely some bias in the data collected since </w:t>
      </w:r>
      <w:r w:rsidR="00A23ED1" w:rsidRPr="00F314C1">
        <w:rPr>
          <w:rFonts w:asciiTheme="minorHAnsi" w:hAnsiTheme="minorHAnsi"/>
          <w:sz w:val="24"/>
          <w:szCs w:val="24"/>
        </w:rPr>
        <w:t xml:space="preserve">the </w:t>
      </w:r>
      <w:r w:rsidRPr="00F314C1">
        <w:rPr>
          <w:rFonts w:asciiTheme="minorHAnsi" w:hAnsiTheme="minorHAnsi"/>
          <w:sz w:val="24"/>
          <w:szCs w:val="24"/>
        </w:rPr>
        <w:t xml:space="preserve">investigation primarily recruited miners and members of their households, </w:t>
      </w:r>
      <w:r w:rsidR="00A974C4" w:rsidRPr="00F314C1">
        <w:rPr>
          <w:rFonts w:asciiTheme="minorHAnsi" w:hAnsiTheme="minorHAnsi"/>
          <w:sz w:val="24"/>
          <w:szCs w:val="24"/>
        </w:rPr>
        <w:t xml:space="preserve">so </w:t>
      </w:r>
      <w:r w:rsidRPr="00F314C1">
        <w:rPr>
          <w:rFonts w:asciiTheme="minorHAnsi" w:hAnsiTheme="minorHAnsi"/>
          <w:sz w:val="24"/>
          <w:szCs w:val="24"/>
        </w:rPr>
        <w:t xml:space="preserve">the </w:t>
      </w:r>
      <w:r w:rsidR="0086194B" w:rsidRPr="00F314C1">
        <w:rPr>
          <w:rFonts w:asciiTheme="minorHAnsi" w:hAnsiTheme="minorHAnsi"/>
          <w:sz w:val="24"/>
          <w:szCs w:val="24"/>
        </w:rPr>
        <w:t xml:space="preserve">data </w:t>
      </w:r>
      <w:r w:rsidR="00A974C4" w:rsidRPr="00F314C1">
        <w:rPr>
          <w:rFonts w:asciiTheme="minorHAnsi" w:hAnsiTheme="minorHAnsi"/>
          <w:sz w:val="24"/>
          <w:szCs w:val="24"/>
        </w:rPr>
        <w:t>are not likely</w:t>
      </w:r>
      <w:r w:rsidR="0086194B" w:rsidRPr="00F314C1">
        <w:rPr>
          <w:rFonts w:asciiTheme="minorHAnsi" w:hAnsiTheme="minorHAnsi"/>
          <w:sz w:val="24"/>
          <w:szCs w:val="24"/>
        </w:rPr>
        <w:t xml:space="preserve"> represent</w:t>
      </w:r>
      <w:r w:rsidR="00A974C4" w:rsidRPr="00F314C1">
        <w:rPr>
          <w:rFonts w:asciiTheme="minorHAnsi" w:hAnsiTheme="minorHAnsi"/>
          <w:sz w:val="24"/>
          <w:szCs w:val="24"/>
        </w:rPr>
        <w:t>ative of</w:t>
      </w:r>
      <w:r w:rsidR="0086194B" w:rsidRPr="00F314C1">
        <w:rPr>
          <w:rFonts w:asciiTheme="minorHAnsi" w:hAnsiTheme="minorHAnsi"/>
          <w:sz w:val="24"/>
          <w:szCs w:val="24"/>
        </w:rPr>
        <w:t xml:space="preserve"> the general Nome community or other communities in the region. However, the temporal scale of the data is unique in that the quantity and type</w:t>
      </w:r>
      <w:r w:rsidR="00EA7D49" w:rsidRPr="00F314C1">
        <w:rPr>
          <w:rFonts w:asciiTheme="minorHAnsi" w:hAnsiTheme="minorHAnsi"/>
          <w:sz w:val="24"/>
          <w:szCs w:val="24"/>
        </w:rPr>
        <w:t xml:space="preserve"> of fish consumed is assessed over</w:t>
      </w:r>
      <w:r w:rsidR="0086194B" w:rsidRPr="00F314C1">
        <w:rPr>
          <w:rFonts w:asciiTheme="minorHAnsi" w:hAnsiTheme="minorHAnsi"/>
          <w:sz w:val="24"/>
          <w:szCs w:val="24"/>
        </w:rPr>
        <w:t xml:space="preserve"> a series of relatively short </w:t>
      </w:r>
      <w:r w:rsidR="00EA7D49" w:rsidRPr="00F314C1">
        <w:rPr>
          <w:rFonts w:asciiTheme="minorHAnsi" w:hAnsiTheme="minorHAnsi"/>
          <w:sz w:val="24"/>
          <w:szCs w:val="24"/>
        </w:rPr>
        <w:t>periods</w:t>
      </w:r>
      <w:r w:rsidR="0086194B" w:rsidRPr="00F314C1">
        <w:rPr>
          <w:rFonts w:asciiTheme="minorHAnsi" w:hAnsiTheme="minorHAnsi"/>
          <w:sz w:val="24"/>
          <w:szCs w:val="24"/>
        </w:rPr>
        <w:t xml:space="preserve"> (24 hours to </w:t>
      </w:r>
      <w:r w:rsidR="00835519" w:rsidRPr="00F314C1">
        <w:rPr>
          <w:rFonts w:asciiTheme="minorHAnsi" w:hAnsiTheme="minorHAnsi"/>
          <w:sz w:val="24"/>
          <w:szCs w:val="24"/>
        </w:rPr>
        <w:t xml:space="preserve">three </w:t>
      </w:r>
      <w:r w:rsidR="0086194B" w:rsidRPr="00F314C1">
        <w:rPr>
          <w:rFonts w:asciiTheme="minorHAnsi" w:hAnsiTheme="minorHAnsi"/>
          <w:sz w:val="24"/>
          <w:szCs w:val="24"/>
        </w:rPr>
        <w:t>weeks). This provides an opportunity to better understand fluctuations in consumption</w:t>
      </w:r>
      <w:r w:rsidR="00A974C4" w:rsidRPr="00F314C1">
        <w:rPr>
          <w:rFonts w:asciiTheme="minorHAnsi" w:hAnsiTheme="minorHAnsi"/>
          <w:sz w:val="24"/>
          <w:szCs w:val="24"/>
        </w:rPr>
        <w:t>,</w:t>
      </w:r>
      <w:r w:rsidR="0086194B" w:rsidRPr="00F314C1">
        <w:rPr>
          <w:rFonts w:asciiTheme="minorHAnsi" w:hAnsiTheme="minorHAnsi"/>
          <w:sz w:val="24"/>
          <w:szCs w:val="24"/>
        </w:rPr>
        <w:t xml:space="preserve"> </w:t>
      </w:r>
      <w:r w:rsidR="00835519" w:rsidRPr="00F314C1">
        <w:rPr>
          <w:rFonts w:asciiTheme="minorHAnsi" w:hAnsiTheme="minorHAnsi"/>
          <w:sz w:val="24"/>
          <w:szCs w:val="24"/>
        </w:rPr>
        <w:t xml:space="preserve">as well as the </w:t>
      </w:r>
      <w:r w:rsidR="0086194B" w:rsidRPr="00F314C1">
        <w:rPr>
          <w:rFonts w:asciiTheme="minorHAnsi" w:hAnsiTheme="minorHAnsi"/>
          <w:sz w:val="24"/>
          <w:szCs w:val="24"/>
        </w:rPr>
        <w:t>potential for acute contaminant exposure</w:t>
      </w:r>
      <w:r w:rsidR="00FA3456" w:rsidRPr="00F314C1">
        <w:rPr>
          <w:rFonts w:asciiTheme="minorHAnsi" w:hAnsiTheme="minorHAnsi"/>
          <w:sz w:val="24"/>
          <w:szCs w:val="24"/>
        </w:rPr>
        <w:t>s</w:t>
      </w:r>
      <w:r w:rsidR="00906881" w:rsidRPr="00F314C1">
        <w:rPr>
          <w:rFonts w:asciiTheme="minorHAnsi" w:hAnsiTheme="minorHAnsi"/>
          <w:sz w:val="24"/>
          <w:szCs w:val="24"/>
        </w:rPr>
        <w:t xml:space="preserve"> through short term increases in fish consumption</w:t>
      </w:r>
      <w:r w:rsidR="00FA3456" w:rsidRPr="00F314C1">
        <w:rPr>
          <w:rFonts w:asciiTheme="minorHAnsi" w:hAnsiTheme="minorHAnsi"/>
          <w:sz w:val="24"/>
          <w:szCs w:val="24"/>
        </w:rPr>
        <w:t xml:space="preserve">. Additionally, the </w:t>
      </w:r>
      <w:r w:rsidR="00FA3456" w:rsidRPr="00F314C1">
        <w:rPr>
          <w:rFonts w:asciiTheme="minorHAnsi" w:hAnsiTheme="minorHAnsi"/>
          <w:sz w:val="24"/>
          <w:szCs w:val="24"/>
        </w:rPr>
        <w:lastRenderedPageBreak/>
        <w:t>potential</w:t>
      </w:r>
      <w:r w:rsidR="0086194B" w:rsidRPr="00F314C1">
        <w:rPr>
          <w:rFonts w:asciiTheme="minorHAnsi" w:hAnsiTheme="minorHAnsi"/>
          <w:sz w:val="24"/>
          <w:szCs w:val="24"/>
        </w:rPr>
        <w:t xml:space="preserve"> for recall bias is reduced </w:t>
      </w:r>
      <w:r w:rsidR="00DB1D81" w:rsidRPr="00F314C1">
        <w:rPr>
          <w:rFonts w:asciiTheme="minorHAnsi" w:hAnsiTheme="minorHAnsi"/>
          <w:sz w:val="24"/>
          <w:szCs w:val="24"/>
        </w:rPr>
        <w:t>due to the</w:t>
      </w:r>
      <w:r w:rsidR="0086194B" w:rsidRPr="00F314C1">
        <w:rPr>
          <w:rFonts w:asciiTheme="minorHAnsi" w:hAnsiTheme="minorHAnsi"/>
          <w:sz w:val="24"/>
          <w:szCs w:val="24"/>
        </w:rPr>
        <w:t xml:space="preserve"> limited the length of time for which participants are asked to report consumption.</w:t>
      </w:r>
      <w:r w:rsidR="00DC04D7" w:rsidRPr="00F314C1">
        <w:rPr>
          <w:rFonts w:asciiTheme="minorHAnsi" w:hAnsiTheme="minorHAnsi"/>
          <w:sz w:val="24"/>
          <w:szCs w:val="24"/>
        </w:rPr>
        <w:t xml:space="preserve"> </w:t>
      </w:r>
      <w:r w:rsidR="0086194B" w:rsidRPr="00F314C1">
        <w:rPr>
          <w:rFonts w:asciiTheme="minorHAnsi" w:hAnsiTheme="minorHAnsi"/>
          <w:sz w:val="24"/>
          <w:szCs w:val="24"/>
        </w:rPr>
        <w:t xml:space="preserve">Alternatively, there is potential to misclassify a participant’s </w:t>
      </w:r>
      <w:r w:rsidR="001709AA" w:rsidRPr="00F314C1">
        <w:rPr>
          <w:rFonts w:asciiTheme="minorHAnsi" w:hAnsiTheme="minorHAnsi"/>
          <w:sz w:val="24"/>
          <w:szCs w:val="24"/>
        </w:rPr>
        <w:t>contaminant exposure if their fish consumption is highly variable between months or seasons. Ultimately</w:t>
      </w:r>
      <w:r w:rsidR="00A974C4" w:rsidRPr="00F314C1">
        <w:rPr>
          <w:rFonts w:asciiTheme="minorHAnsi" w:hAnsiTheme="minorHAnsi"/>
          <w:sz w:val="24"/>
          <w:szCs w:val="24"/>
        </w:rPr>
        <w:t>,</w:t>
      </w:r>
      <w:r w:rsidR="001709AA" w:rsidRPr="00F314C1">
        <w:rPr>
          <w:rFonts w:asciiTheme="minorHAnsi" w:hAnsiTheme="minorHAnsi"/>
          <w:sz w:val="24"/>
          <w:szCs w:val="24"/>
        </w:rPr>
        <w:t xml:space="preserve"> the dataset would </w:t>
      </w:r>
      <w:r w:rsidR="00A974C4" w:rsidRPr="00F314C1">
        <w:rPr>
          <w:rFonts w:asciiTheme="minorHAnsi" w:hAnsiTheme="minorHAnsi"/>
          <w:sz w:val="24"/>
          <w:szCs w:val="24"/>
        </w:rPr>
        <w:t xml:space="preserve">need </w:t>
      </w:r>
      <w:r w:rsidR="001709AA" w:rsidRPr="00F314C1">
        <w:rPr>
          <w:rFonts w:asciiTheme="minorHAnsi" w:hAnsiTheme="minorHAnsi"/>
          <w:sz w:val="24"/>
          <w:szCs w:val="24"/>
        </w:rPr>
        <w:t xml:space="preserve">to be obtained from DHSS and reviewed </w:t>
      </w:r>
      <w:r w:rsidR="002F4746" w:rsidRPr="00F314C1">
        <w:rPr>
          <w:rFonts w:asciiTheme="minorHAnsi" w:hAnsiTheme="minorHAnsi"/>
          <w:sz w:val="24"/>
          <w:szCs w:val="24"/>
        </w:rPr>
        <w:t xml:space="preserve">before a determination </w:t>
      </w:r>
      <w:r w:rsidR="002C6CE3" w:rsidRPr="00F314C1">
        <w:rPr>
          <w:rFonts w:asciiTheme="minorHAnsi" w:hAnsiTheme="minorHAnsi"/>
          <w:sz w:val="24"/>
          <w:szCs w:val="24"/>
        </w:rPr>
        <w:t xml:space="preserve">of </w:t>
      </w:r>
      <w:r w:rsidR="002F4746" w:rsidRPr="00F314C1">
        <w:rPr>
          <w:rFonts w:asciiTheme="minorHAnsi" w:hAnsiTheme="minorHAnsi"/>
          <w:sz w:val="24"/>
          <w:szCs w:val="24"/>
        </w:rPr>
        <w:t xml:space="preserve">applicability for developing FCRs </w:t>
      </w:r>
      <w:r w:rsidR="00A974C4" w:rsidRPr="00F314C1">
        <w:rPr>
          <w:rFonts w:asciiTheme="minorHAnsi" w:hAnsiTheme="minorHAnsi"/>
          <w:sz w:val="24"/>
          <w:szCs w:val="24"/>
        </w:rPr>
        <w:t xml:space="preserve">can </w:t>
      </w:r>
      <w:r w:rsidR="001709AA" w:rsidRPr="00F314C1">
        <w:rPr>
          <w:rFonts w:asciiTheme="minorHAnsi" w:hAnsiTheme="minorHAnsi"/>
          <w:sz w:val="24"/>
          <w:szCs w:val="24"/>
        </w:rPr>
        <w:t>be made.</w:t>
      </w:r>
    </w:p>
    <w:p w14:paraId="64987FF6" w14:textId="77777777" w:rsidR="00AD19BF" w:rsidRPr="00564F7E" w:rsidRDefault="00AD19BF" w:rsidP="00C379D4">
      <w:pPr>
        <w:pStyle w:val="Heading2"/>
        <w:spacing w:before="0" w:after="60"/>
        <w:jc w:val="both"/>
        <w:rPr>
          <w:szCs w:val="24"/>
        </w:rPr>
      </w:pPr>
      <w:bookmarkStart w:id="40" w:name="_Toc390121656"/>
      <w:r w:rsidRPr="00564F7E">
        <w:rPr>
          <w:szCs w:val="24"/>
        </w:rPr>
        <w:t>Dietary Intake of Alaska Native People in Two Regions and Implications of Health: The Alaska Native Dietary and Subsistence Food Assessment Project</w:t>
      </w:r>
      <w:bookmarkEnd w:id="40"/>
    </w:p>
    <w:p w14:paraId="64987FF8" w14:textId="1D9A2912" w:rsidR="00AD19BF" w:rsidRPr="00F314C1" w:rsidRDefault="00AD19BF" w:rsidP="00C379D4">
      <w:pPr>
        <w:pStyle w:val="Heading3"/>
        <w:spacing w:before="0" w:after="60"/>
        <w:jc w:val="both"/>
        <w:rPr>
          <w:sz w:val="24"/>
          <w:szCs w:val="24"/>
        </w:rPr>
      </w:pPr>
      <w:bookmarkStart w:id="41" w:name="_Toc390121657"/>
      <w:r w:rsidRPr="00F314C1">
        <w:rPr>
          <w:sz w:val="24"/>
          <w:szCs w:val="24"/>
        </w:rPr>
        <w:t>Jennifer S. Johnson, Elizabeth D. Nobmann, Elvin Assay &amp; Anne P. Lanier</w:t>
      </w:r>
      <w:bookmarkEnd w:id="41"/>
      <w:r w:rsidR="00880FD5" w:rsidRPr="00F314C1">
        <w:rPr>
          <w:sz w:val="24"/>
          <w:szCs w:val="24"/>
        </w:rPr>
        <w:t xml:space="preserve">; </w:t>
      </w:r>
      <w:bookmarkStart w:id="42" w:name="_Toc390121658"/>
      <w:r w:rsidRPr="00F314C1">
        <w:rPr>
          <w:sz w:val="24"/>
          <w:szCs w:val="24"/>
        </w:rPr>
        <w:t>International Journal of Circumpolar Health, 2009</w:t>
      </w:r>
      <w:bookmarkEnd w:id="42"/>
    </w:p>
    <w:p w14:paraId="64987FF9" w14:textId="77777777" w:rsidR="00AD19BF" w:rsidRPr="00F314C1" w:rsidRDefault="00AD19BF" w:rsidP="00C379D4">
      <w:pPr>
        <w:pStyle w:val="Heading4"/>
        <w:keepNext/>
        <w:jc w:val="both"/>
        <w:rPr>
          <w:sz w:val="24"/>
          <w:szCs w:val="24"/>
        </w:rPr>
      </w:pPr>
      <w:r w:rsidRPr="00F314C1">
        <w:rPr>
          <w:sz w:val="24"/>
          <w:szCs w:val="24"/>
        </w:rPr>
        <w:t xml:space="preserve">General Information </w:t>
      </w:r>
    </w:p>
    <w:p w14:paraId="64987FFA" w14:textId="2D4CCD4C" w:rsidR="00AD19BF" w:rsidRPr="00F314C1" w:rsidRDefault="00AD19BF" w:rsidP="00C379D4">
      <w:pPr>
        <w:jc w:val="both"/>
        <w:rPr>
          <w:rFonts w:asciiTheme="minorHAnsi" w:hAnsiTheme="minorHAnsi"/>
          <w:sz w:val="24"/>
          <w:szCs w:val="24"/>
        </w:rPr>
      </w:pPr>
      <w:r w:rsidRPr="00F314C1">
        <w:rPr>
          <w:rFonts w:asciiTheme="minorHAnsi" w:hAnsiTheme="minorHAnsi"/>
          <w:sz w:val="24"/>
          <w:szCs w:val="24"/>
        </w:rPr>
        <w:t xml:space="preserve">Researchers from the Alaska Native Tribal Health Consortium and EDN Nutrition Consulting undertook a study to better understand the energy and nutrient intake from various food types among Alaska Native people in two regions of Alaska. The purpose of the study was to explore the impact of food choices on </w:t>
      </w:r>
      <w:r w:rsidR="00835519" w:rsidRPr="00F314C1">
        <w:rPr>
          <w:rFonts w:asciiTheme="minorHAnsi" w:hAnsiTheme="minorHAnsi"/>
          <w:sz w:val="24"/>
          <w:szCs w:val="24"/>
        </w:rPr>
        <w:t xml:space="preserve">the </w:t>
      </w:r>
      <w:r w:rsidRPr="00F314C1">
        <w:rPr>
          <w:rFonts w:asciiTheme="minorHAnsi" w:hAnsiTheme="minorHAnsi"/>
          <w:sz w:val="24"/>
          <w:szCs w:val="24"/>
        </w:rPr>
        <w:t>development of chronic disease among Alaska Native people.</w:t>
      </w:r>
    </w:p>
    <w:p w14:paraId="64987FFB" w14:textId="77777777" w:rsidR="00AD19BF" w:rsidRPr="00F314C1" w:rsidRDefault="00AD19BF" w:rsidP="00C379D4">
      <w:pPr>
        <w:pStyle w:val="Heading4"/>
        <w:jc w:val="both"/>
        <w:rPr>
          <w:sz w:val="24"/>
          <w:szCs w:val="24"/>
        </w:rPr>
      </w:pPr>
      <w:r w:rsidRPr="00F314C1">
        <w:rPr>
          <w:sz w:val="24"/>
          <w:szCs w:val="24"/>
        </w:rPr>
        <w:t>Study Population</w:t>
      </w:r>
    </w:p>
    <w:p w14:paraId="64987FFC" w14:textId="3A47B2F7" w:rsidR="00AD19BF" w:rsidRPr="00F314C1" w:rsidRDefault="00AD19BF" w:rsidP="00C379D4">
      <w:pPr>
        <w:jc w:val="both"/>
        <w:rPr>
          <w:rFonts w:asciiTheme="minorHAnsi" w:hAnsiTheme="minorHAnsi"/>
          <w:sz w:val="24"/>
          <w:szCs w:val="24"/>
        </w:rPr>
      </w:pPr>
      <w:r w:rsidRPr="00F314C1">
        <w:rPr>
          <w:rFonts w:asciiTheme="minorHAnsi" w:hAnsiTheme="minorHAnsi"/>
          <w:sz w:val="24"/>
          <w:szCs w:val="24"/>
        </w:rPr>
        <w:t>The study drew participants from the Yukon-Kuskokwim Region (pop</w:t>
      </w:r>
      <w:r w:rsidR="00835519" w:rsidRPr="00F314C1">
        <w:rPr>
          <w:rFonts w:asciiTheme="minorHAnsi" w:hAnsiTheme="minorHAnsi"/>
          <w:sz w:val="24"/>
          <w:szCs w:val="24"/>
        </w:rPr>
        <w:t xml:space="preserve">ulation of </w:t>
      </w:r>
      <w:r w:rsidRPr="00F314C1">
        <w:rPr>
          <w:rFonts w:asciiTheme="minorHAnsi" w:hAnsiTheme="minorHAnsi"/>
          <w:sz w:val="24"/>
          <w:szCs w:val="24"/>
        </w:rPr>
        <w:t xml:space="preserve">20,714) in </w:t>
      </w:r>
      <w:r w:rsidR="00835519" w:rsidRPr="00F314C1">
        <w:rPr>
          <w:rFonts w:asciiTheme="minorHAnsi" w:hAnsiTheme="minorHAnsi"/>
          <w:sz w:val="24"/>
          <w:szCs w:val="24"/>
        </w:rPr>
        <w:t>S</w:t>
      </w:r>
      <w:r w:rsidRPr="00F314C1">
        <w:rPr>
          <w:rFonts w:asciiTheme="minorHAnsi" w:hAnsiTheme="minorHAnsi"/>
          <w:sz w:val="24"/>
          <w:szCs w:val="24"/>
        </w:rPr>
        <w:t xml:space="preserve">outhwestern Alaska and the </w:t>
      </w:r>
      <w:proofErr w:type="spellStart"/>
      <w:r w:rsidRPr="00F314C1">
        <w:rPr>
          <w:rFonts w:asciiTheme="minorHAnsi" w:hAnsiTheme="minorHAnsi"/>
          <w:sz w:val="24"/>
          <w:szCs w:val="24"/>
        </w:rPr>
        <w:t>Maniilaq</w:t>
      </w:r>
      <w:proofErr w:type="spellEnd"/>
      <w:r w:rsidRPr="00F314C1">
        <w:rPr>
          <w:rFonts w:asciiTheme="minorHAnsi" w:hAnsiTheme="minorHAnsi"/>
          <w:sz w:val="24"/>
          <w:szCs w:val="24"/>
        </w:rPr>
        <w:t xml:space="preserve"> Region (pop</w:t>
      </w:r>
      <w:r w:rsidR="00835519" w:rsidRPr="00F314C1">
        <w:rPr>
          <w:rFonts w:asciiTheme="minorHAnsi" w:hAnsiTheme="minorHAnsi"/>
          <w:sz w:val="24"/>
          <w:szCs w:val="24"/>
        </w:rPr>
        <w:t>ulation of</w:t>
      </w:r>
      <w:r w:rsidRPr="00F314C1">
        <w:rPr>
          <w:rFonts w:asciiTheme="minorHAnsi" w:hAnsiTheme="minorHAnsi"/>
          <w:sz w:val="24"/>
          <w:szCs w:val="24"/>
        </w:rPr>
        <w:t xml:space="preserve"> 6,876) in </w:t>
      </w:r>
      <w:r w:rsidR="002C6CE3" w:rsidRPr="00F314C1">
        <w:rPr>
          <w:rFonts w:asciiTheme="minorHAnsi" w:hAnsiTheme="minorHAnsi"/>
          <w:sz w:val="24"/>
          <w:szCs w:val="24"/>
        </w:rPr>
        <w:t>n</w:t>
      </w:r>
      <w:r w:rsidRPr="00F314C1">
        <w:rPr>
          <w:rFonts w:asciiTheme="minorHAnsi" w:hAnsiTheme="minorHAnsi"/>
          <w:sz w:val="24"/>
          <w:szCs w:val="24"/>
        </w:rPr>
        <w:t>orth</w:t>
      </w:r>
      <w:r w:rsidR="002C6CE3" w:rsidRPr="00F314C1">
        <w:rPr>
          <w:rFonts w:asciiTheme="minorHAnsi" w:hAnsiTheme="minorHAnsi"/>
          <w:sz w:val="24"/>
          <w:szCs w:val="24"/>
        </w:rPr>
        <w:t>w</w:t>
      </w:r>
      <w:r w:rsidRPr="00F314C1">
        <w:rPr>
          <w:rFonts w:asciiTheme="minorHAnsi" w:hAnsiTheme="minorHAnsi"/>
          <w:sz w:val="24"/>
          <w:szCs w:val="24"/>
        </w:rPr>
        <w:t xml:space="preserve">est Alaska. Both regions are remote and villages are accessible only by plane or boat. A total of 12 </w:t>
      </w:r>
      <w:proofErr w:type="spellStart"/>
      <w:r w:rsidRPr="00F314C1">
        <w:rPr>
          <w:rFonts w:asciiTheme="minorHAnsi" w:hAnsiTheme="minorHAnsi"/>
          <w:sz w:val="24"/>
          <w:szCs w:val="24"/>
        </w:rPr>
        <w:t>Yup’ik</w:t>
      </w:r>
      <w:proofErr w:type="spellEnd"/>
      <w:r w:rsidRPr="00F314C1">
        <w:rPr>
          <w:rFonts w:asciiTheme="minorHAnsi" w:hAnsiTheme="minorHAnsi"/>
          <w:sz w:val="24"/>
          <w:szCs w:val="24"/>
        </w:rPr>
        <w:t>/</w:t>
      </w:r>
      <w:proofErr w:type="spellStart"/>
      <w:r w:rsidRPr="00F314C1">
        <w:rPr>
          <w:rFonts w:asciiTheme="minorHAnsi" w:hAnsiTheme="minorHAnsi"/>
          <w:sz w:val="24"/>
          <w:szCs w:val="24"/>
        </w:rPr>
        <w:t>Cup’ik</w:t>
      </w:r>
      <w:proofErr w:type="spellEnd"/>
      <w:r w:rsidRPr="00F314C1">
        <w:rPr>
          <w:rFonts w:asciiTheme="minorHAnsi" w:hAnsiTheme="minorHAnsi"/>
          <w:sz w:val="24"/>
          <w:szCs w:val="24"/>
        </w:rPr>
        <w:t xml:space="preserve">, </w:t>
      </w:r>
      <w:r w:rsidR="00A23ED1" w:rsidRPr="00F314C1">
        <w:rPr>
          <w:rFonts w:asciiTheme="minorHAnsi" w:hAnsiTheme="minorHAnsi"/>
          <w:sz w:val="24"/>
          <w:szCs w:val="24"/>
        </w:rPr>
        <w:t>Athabaskan</w:t>
      </w:r>
      <w:r w:rsidR="000562C2" w:rsidRPr="00F314C1">
        <w:rPr>
          <w:rFonts w:asciiTheme="minorHAnsi" w:hAnsiTheme="minorHAnsi"/>
          <w:sz w:val="24"/>
          <w:szCs w:val="24"/>
        </w:rPr>
        <w:t>,</w:t>
      </w:r>
      <w:r w:rsidRPr="00F314C1">
        <w:rPr>
          <w:rFonts w:asciiTheme="minorHAnsi" w:hAnsiTheme="minorHAnsi"/>
          <w:sz w:val="24"/>
          <w:szCs w:val="24"/>
        </w:rPr>
        <w:t xml:space="preserve"> and Inupiat Eskimo villages </w:t>
      </w:r>
      <w:r w:rsidR="00835519" w:rsidRPr="00F314C1">
        <w:rPr>
          <w:rFonts w:asciiTheme="minorHAnsi" w:hAnsiTheme="minorHAnsi"/>
          <w:sz w:val="24"/>
          <w:szCs w:val="24"/>
        </w:rPr>
        <w:t xml:space="preserve">within </w:t>
      </w:r>
      <w:r w:rsidRPr="00F314C1">
        <w:rPr>
          <w:rFonts w:asciiTheme="minorHAnsi" w:hAnsiTheme="minorHAnsi"/>
          <w:sz w:val="24"/>
          <w:szCs w:val="24"/>
        </w:rPr>
        <w:t>the two regions were selected for inclusion in the study. Alaska Native residents aged 13 and over were invited to participate in the study. The goal was to enroll a minimum of 20 participants per village with equal numbers</w:t>
      </w:r>
      <w:r w:rsidR="00FA3456" w:rsidRPr="00F314C1">
        <w:rPr>
          <w:rFonts w:asciiTheme="minorHAnsi" w:hAnsiTheme="minorHAnsi"/>
          <w:sz w:val="24"/>
          <w:szCs w:val="24"/>
        </w:rPr>
        <w:t xml:space="preserve"> in each age category. In total</w:t>
      </w:r>
      <w:r w:rsidR="00835519" w:rsidRPr="00F314C1">
        <w:rPr>
          <w:rFonts w:asciiTheme="minorHAnsi" w:hAnsiTheme="minorHAnsi"/>
          <w:sz w:val="24"/>
          <w:szCs w:val="24"/>
        </w:rPr>
        <w:t>,</w:t>
      </w:r>
      <w:r w:rsidRPr="00F314C1">
        <w:rPr>
          <w:rFonts w:asciiTheme="minorHAnsi" w:hAnsiTheme="minorHAnsi"/>
          <w:sz w:val="24"/>
          <w:szCs w:val="24"/>
        </w:rPr>
        <w:t xml:space="preserve"> </w:t>
      </w:r>
      <w:r w:rsidR="00FA3456" w:rsidRPr="00F314C1">
        <w:rPr>
          <w:rFonts w:asciiTheme="minorHAnsi" w:hAnsiTheme="minorHAnsi"/>
          <w:sz w:val="24"/>
          <w:szCs w:val="24"/>
        </w:rPr>
        <w:t xml:space="preserve">the survey had </w:t>
      </w:r>
      <w:r w:rsidRPr="00F314C1">
        <w:rPr>
          <w:rFonts w:asciiTheme="minorHAnsi" w:hAnsiTheme="minorHAnsi"/>
          <w:sz w:val="24"/>
          <w:szCs w:val="24"/>
        </w:rPr>
        <w:t>333 participants ages 13 to 88, including 218 women and 115 men.</w:t>
      </w:r>
    </w:p>
    <w:p w14:paraId="64987FFD" w14:textId="77777777" w:rsidR="00AD19BF" w:rsidRPr="00F314C1" w:rsidRDefault="00AD19BF" w:rsidP="00C379D4">
      <w:pPr>
        <w:pStyle w:val="Heading4"/>
        <w:jc w:val="both"/>
        <w:rPr>
          <w:sz w:val="24"/>
          <w:szCs w:val="24"/>
        </w:rPr>
      </w:pPr>
      <w:r w:rsidRPr="00F314C1">
        <w:rPr>
          <w:sz w:val="24"/>
          <w:szCs w:val="24"/>
        </w:rPr>
        <w:t>Data Collection Methods</w:t>
      </w:r>
    </w:p>
    <w:p w14:paraId="64987FFE" w14:textId="16745A24" w:rsidR="00AD19BF" w:rsidRPr="00F314C1" w:rsidRDefault="00AD19BF" w:rsidP="00C379D4">
      <w:pPr>
        <w:jc w:val="both"/>
        <w:rPr>
          <w:rFonts w:asciiTheme="minorHAnsi" w:hAnsiTheme="minorHAnsi"/>
          <w:sz w:val="24"/>
          <w:szCs w:val="24"/>
        </w:rPr>
      </w:pPr>
      <w:r w:rsidRPr="00F314C1">
        <w:rPr>
          <w:rFonts w:asciiTheme="minorHAnsi" w:hAnsiTheme="minorHAnsi"/>
          <w:sz w:val="24"/>
          <w:szCs w:val="24"/>
        </w:rPr>
        <w:t>Between 2002 and 2004, trained interviewers conducted four 24</w:t>
      </w:r>
      <w:r w:rsidR="00835519" w:rsidRPr="00F314C1">
        <w:rPr>
          <w:rFonts w:asciiTheme="minorHAnsi" w:hAnsiTheme="minorHAnsi"/>
          <w:sz w:val="24"/>
          <w:szCs w:val="24"/>
        </w:rPr>
        <w:t>-</w:t>
      </w:r>
      <w:r w:rsidRPr="00F314C1">
        <w:rPr>
          <w:rFonts w:asciiTheme="minorHAnsi" w:hAnsiTheme="minorHAnsi"/>
          <w:sz w:val="24"/>
          <w:szCs w:val="24"/>
        </w:rPr>
        <w:t xml:space="preserve">hour dietary recalls in which participants were asked to describe all food </w:t>
      </w:r>
      <w:r w:rsidR="00835519" w:rsidRPr="00F314C1">
        <w:rPr>
          <w:rFonts w:asciiTheme="minorHAnsi" w:hAnsiTheme="minorHAnsi"/>
          <w:sz w:val="24"/>
          <w:szCs w:val="24"/>
        </w:rPr>
        <w:t xml:space="preserve">and beverages </w:t>
      </w:r>
      <w:r w:rsidRPr="00F314C1">
        <w:rPr>
          <w:rFonts w:asciiTheme="minorHAnsi" w:hAnsiTheme="minorHAnsi"/>
          <w:sz w:val="24"/>
          <w:szCs w:val="24"/>
        </w:rPr>
        <w:t>consumed during the previous 24</w:t>
      </w:r>
      <w:r w:rsidR="00835519" w:rsidRPr="00F314C1">
        <w:rPr>
          <w:rFonts w:asciiTheme="minorHAnsi" w:hAnsiTheme="minorHAnsi"/>
          <w:sz w:val="24"/>
          <w:szCs w:val="24"/>
        </w:rPr>
        <w:t>-</w:t>
      </w:r>
      <w:r w:rsidRPr="00F314C1">
        <w:rPr>
          <w:rFonts w:asciiTheme="minorHAnsi" w:hAnsiTheme="minorHAnsi"/>
          <w:sz w:val="24"/>
          <w:szCs w:val="24"/>
        </w:rPr>
        <w:t>hour</w:t>
      </w:r>
      <w:r w:rsidR="00835519" w:rsidRPr="00F314C1">
        <w:rPr>
          <w:rFonts w:asciiTheme="minorHAnsi" w:hAnsiTheme="minorHAnsi"/>
          <w:sz w:val="24"/>
          <w:szCs w:val="24"/>
        </w:rPr>
        <w:t>s</w:t>
      </w:r>
      <w:r w:rsidRPr="00F314C1">
        <w:rPr>
          <w:rFonts w:asciiTheme="minorHAnsi" w:hAnsiTheme="minorHAnsi"/>
          <w:sz w:val="24"/>
          <w:szCs w:val="24"/>
        </w:rPr>
        <w:t>. The initial recall was conducted during an in</w:t>
      </w:r>
      <w:r w:rsidR="00835519" w:rsidRPr="00F314C1">
        <w:rPr>
          <w:rFonts w:asciiTheme="minorHAnsi" w:hAnsiTheme="minorHAnsi"/>
          <w:sz w:val="24"/>
          <w:szCs w:val="24"/>
        </w:rPr>
        <w:t>-</w:t>
      </w:r>
      <w:r w:rsidRPr="00F314C1">
        <w:rPr>
          <w:rFonts w:asciiTheme="minorHAnsi" w:hAnsiTheme="minorHAnsi"/>
          <w:sz w:val="24"/>
          <w:szCs w:val="24"/>
        </w:rPr>
        <w:t xml:space="preserve">person visit, while the three subsequent recalls were conducted over the telephone. Recalls were conducted in each of the four seasons to capture temporal variability in dietary consumption. The recalls had no predetermined time constraint, allowing participants the opportunity to provide unlimited detail on type of food, food source, food processing method, food preparation, and other relevant information. Participants received a standard set of measuring cups and spoons to assist with description of portion sizes. </w:t>
      </w:r>
    </w:p>
    <w:p w14:paraId="64987FFF" w14:textId="77777777" w:rsidR="00AD19BF" w:rsidRPr="00F314C1" w:rsidRDefault="00AD19BF" w:rsidP="00C379D4">
      <w:pPr>
        <w:pStyle w:val="Heading4"/>
        <w:keepNext/>
        <w:jc w:val="both"/>
        <w:rPr>
          <w:sz w:val="24"/>
          <w:szCs w:val="24"/>
        </w:rPr>
      </w:pPr>
      <w:r w:rsidRPr="00F314C1">
        <w:rPr>
          <w:sz w:val="24"/>
          <w:szCs w:val="24"/>
        </w:rPr>
        <w:t xml:space="preserve">Description of Data </w:t>
      </w:r>
    </w:p>
    <w:p w14:paraId="64988000" w14:textId="675C18AC" w:rsidR="00AD19BF" w:rsidRPr="00F314C1" w:rsidRDefault="00AD19BF" w:rsidP="00C379D4">
      <w:pPr>
        <w:keepNext/>
        <w:jc w:val="both"/>
        <w:rPr>
          <w:rFonts w:asciiTheme="minorHAnsi" w:hAnsiTheme="minorHAnsi"/>
          <w:sz w:val="24"/>
          <w:szCs w:val="24"/>
        </w:rPr>
      </w:pPr>
      <w:r w:rsidRPr="00F314C1">
        <w:rPr>
          <w:rFonts w:asciiTheme="minorHAnsi" w:hAnsiTheme="minorHAnsi"/>
          <w:sz w:val="24"/>
          <w:szCs w:val="24"/>
        </w:rPr>
        <w:t xml:space="preserve">Information was collected on all food consumed, including store bought food and locally harvested foods such as fish, wild greens, berries, </w:t>
      </w:r>
      <w:r w:rsidR="00567247" w:rsidRPr="00F314C1">
        <w:rPr>
          <w:rFonts w:asciiTheme="minorHAnsi" w:hAnsiTheme="minorHAnsi"/>
          <w:sz w:val="24"/>
          <w:szCs w:val="24"/>
        </w:rPr>
        <w:t xml:space="preserve">and </w:t>
      </w:r>
      <w:r w:rsidRPr="00F314C1">
        <w:rPr>
          <w:rFonts w:asciiTheme="minorHAnsi" w:hAnsiTheme="minorHAnsi"/>
          <w:sz w:val="24"/>
          <w:szCs w:val="24"/>
        </w:rPr>
        <w:t xml:space="preserve">wild game, </w:t>
      </w:r>
      <w:r w:rsidR="00567247" w:rsidRPr="00F314C1">
        <w:rPr>
          <w:rFonts w:asciiTheme="minorHAnsi" w:hAnsiTheme="minorHAnsi"/>
          <w:sz w:val="24"/>
          <w:szCs w:val="24"/>
        </w:rPr>
        <w:t xml:space="preserve">as well as </w:t>
      </w:r>
      <w:r w:rsidRPr="00F314C1">
        <w:rPr>
          <w:rFonts w:asciiTheme="minorHAnsi" w:hAnsiTheme="minorHAnsi"/>
          <w:sz w:val="24"/>
          <w:szCs w:val="24"/>
        </w:rPr>
        <w:t>oil and meat from seals, walrus</w:t>
      </w:r>
      <w:r w:rsidR="00567247" w:rsidRPr="00F314C1">
        <w:rPr>
          <w:rFonts w:asciiTheme="minorHAnsi" w:hAnsiTheme="minorHAnsi"/>
          <w:sz w:val="24"/>
          <w:szCs w:val="24"/>
        </w:rPr>
        <w:t>,</w:t>
      </w:r>
      <w:r w:rsidRPr="00F314C1">
        <w:rPr>
          <w:rFonts w:asciiTheme="minorHAnsi" w:hAnsiTheme="minorHAnsi"/>
          <w:sz w:val="24"/>
          <w:szCs w:val="24"/>
        </w:rPr>
        <w:t xml:space="preserve"> and whales. Commonly reported fish </w:t>
      </w:r>
      <w:r w:rsidR="001C2770" w:rsidRPr="00F314C1">
        <w:rPr>
          <w:rFonts w:asciiTheme="minorHAnsi" w:hAnsiTheme="minorHAnsi"/>
          <w:sz w:val="24"/>
          <w:szCs w:val="24"/>
        </w:rPr>
        <w:t xml:space="preserve">consumed </w:t>
      </w:r>
      <w:r w:rsidRPr="00F314C1">
        <w:rPr>
          <w:rFonts w:asciiTheme="minorHAnsi" w:hAnsiTheme="minorHAnsi"/>
          <w:sz w:val="24"/>
          <w:szCs w:val="24"/>
        </w:rPr>
        <w:t xml:space="preserve">included </w:t>
      </w:r>
      <w:proofErr w:type="spellStart"/>
      <w:r w:rsidRPr="00F314C1">
        <w:rPr>
          <w:rFonts w:asciiTheme="minorHAnsi" w:hAnsiTheme="minorHAnsi"/>
          <w:sz w:val="24"/>
          <w:szCs w:val="24"/>
        </w:rPr>
        <w:t>sheefish</w:t>
      </w:r>
      <w:proofErr w:type="spellEnd"/>
      <w:r w:rsidRPr="00F314C1">
        <w:rPr>
          <w:rFonts w:asciiTheme="minorHAnsi" w:hAnsiTheme="minorHAnsi"/>
          <w:sz w:val="24"/>
          <w:szCs w:val="24"/>
        </w:rPr>
        <w:t xml:space="preserve">, king salmon, </w:t>
      </w:r>
      <w:r w:rsidRPr="00F314C1">
        <w:rPr>
          <w:rFonts w:asciiTheme="minorHAnsi" w:hAnsiTheme="minorHAnsi"/>
          <w:sz w:val="24"/>
          <w:szCs w:val="24"/>
        </w:rPr>
        <w:lastRenderedPageBreak/>
        <w:t>dried chum salmon</w:t>
      </w:r>
      <w:r w:rsidR="00567247" w:rsidRPr="00F314C1">
        <w:rPr>
          <w:rFonts w:asciiTheme="minorHAnsi" w:hAnsiTheme="minorHAnsi"/>
          <w:sz w:val="24"/>
          <w:szCs w:val="24"/>
        </w:rPr>
        <w:t>,</w:t>
      </w:r>
      <w:r w:rsidRPr="00F314C1">
        <w:rPr>
          <w:rFonts w:asciiTheme="minorHAnsi" w:hAnsiTheme="minorHAnsi"/>
          <w:sz w:val="24"/>
          <w:szCs w:val="24"/>
        </w:rPr>
        <w:t xml:space="preserve"> and whitefish</w:t>
      </w:r>
      <w:r w:rsidR="00835519" w:rsidRPr="00F314C1">
        <w:rPr>
          <w:rFonts w:asciiTheme="minorHAnsi" w:hAnsiTheme="minorHAnsi"/>
          <w:sz w:val="24"/>
          <w:szCs w:val="24"/>
        </w:rPr>
        <w:t>-</w:t>
      </w:r>
      <w:r w:rsidRPr="00F314C1">
        <w:rPr>
          <w:rFonts w:asciiTheme="minorHAnsi" w:hAnsiTheme="minorHAnsi"/>
          <w:sz w:val="24"/>
          <w:szCs w:val="24"/>
        </w:rPr>
        <w:t xml:space="preserve"> all locally harvested. Other types of fish </w:t>
      </w:r>
      <w:r w:rsidR="001C2770" w:rsidRPr="00F314C1">
        <w:rPr>
          <w:rFonts w:asciiTheme="minorHAnsi" w:hAnsiTheme="minorHAnsi"/>
          <w:sz w:val="24"/>
          <w:szCs w:val="24"/>
        </w:rPr>
        <w:t xml:space="preserve">consumed, </w:t>
      </w:r>
      <w:r w:rsidRPr="00F314C1">
        <w:rPr>
          <w:rFonts w:asciiTheme="minorHAnsi" w:hAnsiTheme="minorHAnsi"/>
          <w:sz w:val="24"/>
          <w:szCs w:val="24"/>
        </w:rPr>
        <w:t xml:space="preserve">such as tuna and fish sticks, were categorized as store bought. In total, participants reported </w:t>
      </w:r>
      <w:r w:rsidR="001C2770" w:rsidRPr="00F314C1">
        <w:rPr>
          <w:rFonts w:asciiTheme="minorHAnsi" w:hAnsiTheme="minorHAnsi"/>
          <w:sz w:val="24"/>
          <w:szCs w:val="24"/>
        </w:rPr>
        <w:t>consuming</w:t>
      </w:r>
      <w:r w:rsidRPr="00F314C1">
        <w:rPr>
          <w:rFonts w:asciiTheme="minorHAnsi" w:hAnsiTheme="minorHAnsi"/>
          <w:sz w:val="24"/>
          <w:szCs w:val="24"/>
        </w:rPr>
        <w:t xml:space="preserve"> 1,818 different foods including </w:t>
      </w:r>
      <w:r w:rsidR="00567247" w:rsidRPr="00F314C1">
        <w:rPr>
          <w:rFonts w:asciiTheme="minorHAnsi" w:hAnsiTheme="minorHAnsi"/>
          <w:sz w:val="24"/>
          <w:szCs w:val="24"/>
        </w:rPr>
        <w:t xml:space="preserve">more than </w:t>
      </w:r>
      <w:r w:rsidRPr="00F314C1">
        <w:rPr>
          <w:rFonts w:asciiTheme="minorHAnsi" w:hAnsiTheme="minorHAnsi"/>
          <w:sz w:val="24"/>
          <w:szCs w:val="24"/>
        </w:rPr>
        <w:t xml:space="preserve">100 </w:t>
      </w:r>
      <w:r w:rsidR="00906881" w:rsidRPr="00F314C1">
        <w:rPr>
          <w:rFonts w:asciiTheme="minorHAnsi" w:hAnsiTheme="minorHAnsi"/>
          <w:sz w:val="24"/>
          <w:szCs w:val="24"/>
        </w:rPr>
        <w:t>subsistence</w:t>
      </w:r>
      <w:r w:rsidRPr="00F314C1">
        <w:rPr>
          <w:rFonts w:asciiTheme="minorHAnsi" w:hAnsiTheme="minorHAnsi"/>
          <w:sz w:val="24"/>
          <w:szCs w:val="24"/>
        </w:rPr>
        <w:t xml:space="preserve"> foods. Data presented in the report are expressed as proportion of energy and specific nutrients contributed to total diet by defined food groups.</w:t>
      </w:r>
    </w:p>
    <w:p w14:paraId="64988001" w14:textId="77777777" w:rsidR="00AD19BF" w:rsidRPr="00F314C1" w:rsidRDefault="00AD19BF" w:rsidP="00C379D4">
      <w:pPr>
        <w:pStyle w:val="Heading4"/>
        <w:jc w:val="both"/>
        <w:rPr>
          <w:sz w:val="24"/>
          <w:szCs w:val="24"/>
        </w:rPr>
      </w:pPr>
      <w:r w:rsidRPr="00F314C1">
        <w:rPr>
          <w:sz w:val="24"/>
          <w:szCs w:val="24"/>
        </w:rPr>
        <w:t>QA/QC Procedures</w:t>
      </w:r>
    </w:p>
    <w:p w14:paraId="64988002" w14:textId="2EA18722" w:rsidR="00AD19BF" w:rsidRPr="00F314C1" w:rsidRDefault="00AD19BF" w:rsidP="00C379D4">
      <w:pPr>
        <w:jc w:val="both"/>
        <w:rPr>
          <w:rFonts w:asciiTheme="minorHAnsi" w:hAnsiTheme="minorHAnsi"/>
          <w:sz w:val="24"/>
          <w:szCs w:val="24"/>
        </w:rPr>
      </w:pPr>
      <w:r w:rsidRPr="00F314C1">
        <w:rPr>
          <w:rFonts w:asciiTheme="minorHAnsi" w:hAnsiTheme="minorHAnsi"/>
          <w:sz w:val="24"/>
          <w:szCs w:val="24"/>
        </w:rPr>
        <w:t xml:space="preserve">The study was approved by the Alaska Area Institutional Review Board, the Yukon Kuskokwim Health Center, the </w:t>
      </w:r>
      <w:proofErr w:type="spellStart"/>
      <w:r w:rsidRPr="00F314C1">
        <w:rPr>
          <w:rFonts w:asciiTheme="minorHAnsi" w:hAnsiTheme="minorHAnsi"/>
          <w:sz w:val="24"/>
          <w:szCs w:val="24"/>
        </w:rPr>
        <w:t>Maniilaq</w:t>
      </w:r>
      <w:proofErr w:type="spellEnd"/>
      <w:r w:rsidRPr="00F314C1">
        <w:rPr>
          <w:rFonts w:asciiTheme="minorHAnsi" w:hAnsiTheme="minorHAnsi"/>
          <w:sz w:val="24"/>
          <w:szCs w:val="24"/>
        </w:rPr>
        <w:t xml:space="preserve"> Association</w:t>
      </w:r>
      <w:r w:rsidR="00567247" w:rsidRPr="00F314C1">
        <w:rPr>
          <w:rFonts w:asciiTheme="minorHAnsi" w:hAnsiTheme="minorHAnsi"/>
          <w:sz w:val="24"/>
          <w:szCs w:val="24"/>
        </w:rPr>
        <w:t>,</w:t>
      </w:r>
      <w:r w:rsidRPr="00F314C1">
        <w:rPr>
          <w:rFonts w:asciiTheme="minorHAnsi" w:hAnsiTheme="minorHAnsi"/>
          <w:sz w:val="24"/>
          <w:szCs w:val="24"/>
        </w:rPr>
        <w:t xml:space="preserve"> and the Tribal Councils of all participating communities. Interviewers were trained prior to conducting the recalls and translation was provided for participants speaking </w:t>
      </w:r>
      <w:proofErr w:type="spellStart"/>
      <w:r w:rsidRPr="00F314C1">
        <w:rPr>
          <w:rFonts w:asciiTheme="minorHAnsi" w:hAnsiTheme="minorHAnsi"/>
          <w:sz w:val="24"/>
          <w:szCs w:val="24"/>
        </w:rPr>
        <w:t>Yup</w:t>
      </w:r>
      <w:r w:rsidR="00567247" w:rsidRPr="00F314C1">
        <w:rPr>
          <w:rFonts w:asciiTheme="minorHAnsi" w:hAnsiTheme="minorHAnsi"/>
          <w:sz w:val="24"/>
          <w:szCs w:val="24"/>
        </w:rPr>
        <w:t>’</w:t>
      </w:r>
      <w:r w:rsidRPr="00F314C1">
        <w:rPr>
          <w:rFonts w:asciiTheme="minorHAnsi" w:hAnsiTheme="minorHAnsi"/>
          <w:sz w:val="24"/>
          <w:szCs w:val="24"/>
        </w:rPr>
        <w:t>ik</w:t>
      </w:r>
      <w:proofErr w:type="spellEnd"/>
      <w:r w:rsidRPr="00F314C1">
        <w:rPr>
          <w:rFonts w:asciiTheme="minorHAnsi" w:hAnsiTheme="minorHAnsi"/>
          <w:sz w:val="24"/>
          <w:szCs w:val="24"/>
        </w:rPr>
        <w:t xml:space="preserve"> or Inupiaq. A multi-pass method was utilized to ensure that all foods </w:t>
      </w:r>
      <w:r w:rsidR="00567247" w:rsidRPr="00F314C1">
        <w:rPr>
          <w:rFonts w:asciiTheme="minorHAnsi" w:hAnsiTheme="minorHAnsi"/>
          <w:sz w:val="24"/>
          <w:szCs w:val="24"/>
        </w:rPr>
        <w:t xml:space="preserve">consumed </w:t>
      </w:r>
      <w:r w:rsidRPr="00F314C1">
        <w:rPr>
          <w:rFonts w:asciiTheme="minorHAnsi" w:hAnsiTheme="minorHAnsi"/>
          <w:sz w:val="24"/>
          <w:szCs w:val="24"/>
        </w:rPr>
        <w:t>were recorded</w:t>
      </w:r>
      <w:r w:rsidR="00567247" w:rsidRPr="00F314C1">
        <w:rPr>
          <w:rFonts w:asciiTheme="minorHAnsi" w:hAnsiTheme="minorHAnsi"/>
          <w:sz w:val="24"/>
          <w:szCs w:val="24"/>
        </w:rPr>
        <w:t xml:space="preserve">, </w:t>
      </w:r>
      <w:r w:rsidRPr="00F314C1">
        <w:rPr>
          <w:rFonts w:asciiTheme="minorHAnsi" w:hAnsiTheme="minorHAnsi"/>
          <w:sz w:val="24"/>
          <w:szCs w:val="24"/>
        </w:rPr>
        <w:t xml:space="preserve">and multiple recalls were used both to improve the ability of the participants to reflect typical intake and to capture seasonal variation in consumption of certain foods. </w:t>
      </w:r>
    </w:p>
    <w:p w14:paraId="64988003" w14:textId="77777777" w:rsidR="00BA19C9" w:rsidRPr="00F314C1" w:rsidRDefault="00AD19BF" w:rsidP="00C379D4">
      <w:pPr>
        <w:pStyle w:val="Heading4"/>
        <w:jc w:val="both"/>
        <w:rPr>
          <w:sz w:val="24"/>
          <w:szCs w:val="24"/>
        </w:rPr>
      </w:pPr>
      <w:r w:rsidRPr="00F314C1">
        <w:rPr>
          <w:sz w:val="24"/>
          <w:szCs w:val="24"/>
        </w:rPr>
        <w:t xml:space="preserve">Findings on Fish Consumption </w:t>
      </w:r>
    </w:p>
    <w:p w14:paraId="64988004" w14:textId="2B3163A3" w:rsidR="00AD19BF" w:rsidRPr="00F314C1" w:rsidRDefault="00AD19BF" w:rsidP="00C379D4">
      <w:pPr>
        <w:jc w:val="both"/>
        <w:rPr>
          <w:rFonts w:asciiTheme="minorHAnsi" w:hAnsiTheme="minorHAnsi"/>
          <w:sz w:val="24"/>
          <w:szCs w:val="24"/>
        </w:rPr>
      </w:pPr>
      <w:r w:rsidRPr="00F314C1">
        <w:rPr>
          <w:rFonts w:asciiTheme="minorHAnsi" w:hAnsiTheme="minorHAnsi"/>
          <w:sz w:val="24"/>
          <w:szCs w:val="24"/>
        </w:rPr>
        <w:t xml:space="preserve">Of the 100 </w:t>
      </w:r>
      <w:r w:rsidR="00906881" w:rsidRPr="00F314C1">
        <w:rPr>
          <w:rFonts w:asciiTheme="minorHAnsi" w:hAnsiTheme="minorHAnsi"/>
          <w:sz w:val="24"/>
          <w:szCs w:val="24"/>
        </w:rPr>
        <w:t>subsistence</w:t>
      </w:r>
      <w:r w:rsidRPr="00F314C1">
        <w:rPr>
          <w:rFonts w:asciiTheme="minorHAnsi" w:hAnsiTheme="minorHAnsi"/>
          <w:sz w:val="24"/>
          <w:szCs w:val="24"/>
        </w:rPr>
        <w:t xml:space="preserve"> foods reported during the recalls, those occurring most often included salmon (mostly king and chum), white fish</w:t>
      </w:r>
      <w:r w:rsidR="00F12E6A" w:rsidRPr="00F314C1">
        <w:rPr>
          <w:rFonts w:asciiTheme="minorHAnsi" w:hAnsiTheme="minorHAnsi"/>
          <w:sz w:val="24"/>
          <w:szCs w:val="24"/>
        </w:rPr>
        <w:t>,</w:t>
      </w:r>
      <w:r w:rsidRPr="00F314C1">
        <w:rPr>
          <w:rFonts w:asciiTheme="minorHAnsi" w:hAnsiTheme="minorHAnsi"/>
          <w:sz w:val="24"/>
          <w:szCs w:val="24"/>
        </w:rPr>
        <w:t xml:space="preserve"> and </w:t>
      </w:r>
      <w:proofErr w:type="spellStart"/>
      <w:r w:rsidRPr="00F314C1">
        <w:rPr>
          <w:rFonts w:asciiTheme="minorHAnsi" w:hAnsiTheme="minorHAnsi"/>
          <w:sz w:val="24"/>
          <w:szCs w:val="24"/>
        </w:rPr>
        <w:t>sheefish</w:t>
      </w:r>
      <w:proofErr w:type="spellEnd"/>
      <w:r w:rsidRPr="00F314C1">
        <w:rPr>
          <w:rFonts w:asciiTheme="minorHAnsi" w:hAnsiTheme="minorHAnsi"/>
          <w:sz w:val="24"/>
          <w:szCs w:val="24"/>
        </w:rPr>
        <w:t>. Locally harvest fish and seafood accounted for 10% of total calories consumed by study participants, 27% of protein</w:t>
      </w:r>
      <w:r w:rsidR="00F12E6A" w:rsidRPr="00F314C1">
        <w:rPr>
          <w:rFonts w:asciiTheme="minorHAnsi" w:hAnsiTheme="minorHAnsi"/>
          <w:sz w:val="24"/>
          <w:szCs w:val="24"/>
        </w:rPr>
        <w:t>,</w:t>
      </w:r>
      <w:r w:rsidRPr="00F314C1">
        <w:rPr>
          <w:rFonts w:asciiTheme="minorHAnsi" w:hAnsiTheme="minorHAnsi"/>
          <w:sz w:val="24"/>
          <w:szCs w:val="24"/>
        </w:rPr>
        <w:t xml:space="preserve"> and 11% of fat. Fish and seafood also contributed substantially to selenium, magnesium, and vitamin D and E in the diet of participants. Mean intakes of omega-3 fatty acids (from locally harvested fish and seas mammals) were found to be </w:t>
      </w:r>
      <w:r w:rsidR="00F12E6A" w:rsidRPr="00F314C1">
        <w:rPr>
          <w:rFonts w:asciiTheme="minorHAnsi" w:hAnsiTheme="minorHAnsi"/>
          <w:sz w:val="24"/>
          <w:szCs w:val="24"/>
        </w:rPr>
        <w:t xml:space="preserve">more than </w:t>
      </w:r>
      <w:r w:rsidRPr="00F314C1">
        <w:rPr>
          <w:rFonts w:asciiTheme="minorHAnsi" w:hAnsiTheme="minorHAnsi"/>
          <w:sz w:val="24"/>
          <w:szCs w:val="24"/>
        </w:rPr>
        <w:t xml:space="preserve">twenty times greater than in the general U.S. population. Results demonstrated increased levels of </w:t>
      </w:r>
      <w:proofErr w:type="spellStart"/>
      <w:r w:rsidRPr="00F314C1">
        <w:rPr>
          <w:rFonts w:asciiTheme="minorHAnsi" w:hAnsiTheme="minorHAnsi"/>
          <w:sz w:val="24"/>
          <w:szCs w:val="24"/>
        </w:rPr>
        <w:t>Eicosapentaenoic</w:t>
      </w:r>
      <w:proofErr w:type="spellEnd"/>
      <w:r w:rsidRPr="00F314C1">
        <w:rPr>
          <w:rFonts w:asciiTheme="minorHAnsi" w:hAnsiTheme="minorHAnsi"/>
          <w:sz w:val="24"/>
          <w:szCs w:val="24"/>
        </w:rPr>
        <w:t xml:space="preserve"> acid (an omega-3 fatty acid) in the Yukon-Kuskokwim participants, which likely reflects greater consumption of fish and/or seas mammals in this region.</w:t>
      </w:r>
    </w:p>
    <w:p w14:paraId="64988005" w14:textId="210BB1BE" w:rsidR="00AD19BF" w:rsidRPr="00F314C1" w:rsidRDefault="00AD19BF" w:rsidP="00C379D4">
      <w:pPr>
        <w:pStyle w:val="Heading4"/>
        <w:jc w:val="both"/>
        <w:rPr>
          <w:sz w:val="24"/>
          <w:szCs w:val="24"/>
        </w:rPr>
      </w:pPr>
      <w:r w:rsidRPr="00F314C1">
        <w:rPr>
          <w:sz w:val="24"/>
          <w:szCs w:val="24"/>
        </w:rPr>
        <w:t xml:space="preserve">Applicability of the Data for use in Determining </w:t>
      </w:r>
      <w:r w:rsidR="007F6D08" w:rsidRPr="00F314C1">
        <w:rPr>
          <w:sz w:val="24"/>
          <w:szCs w:val="24"/>
        </w:rPr>
        <w:t>FCR</w:t>
      </w:r>
      <w:r w:rsidRPr="00F314C1">
        <w:rPr>
          <w:sz w:val="24"/>
          <w:szCs w:val="24"/>
        </w:rPr>
        <w:t>s</w:t>
      </w:r>
    </w:p>
    <w:p w14:paraId="64988006" w14:textId="2A216FAB" w:rsidR="00AD19BF" w:rsidRPr="00F314C1" w:rsidRDefault="00AD19BF" w:rsidP="00C379D4">
      <w:pPr>
        <w:jc w:val="both"/>
        <w:rPr>
          <w:rFonts w:asciiTheme="minorHAnsi" w:hAnsiTheme="minorHAnsi"/>
          <w:sz w:val="24"/>
          <w:szCs w:val="24"/>
        </w:rPr>
      </w:pPr>
      <w:r w:rsidRPr="00F314C1">
        <w:rPr>
          <w:rFonts w:asciiTheme="minorHAnsi" w:hAnsiTheme="minorHAnsi"/>
          <w:sz w:val="24"/>
          <w:szCs w:val="24"/>
        </w:rPr>
        <w:t xml:space="preserve">The findings from this study </w:t>
      </w:r>
      <w:r w:rsidR="00F12E6A" w:rsidRPr="00F314C1">
        <w:rPr>
          <w:rFonts w:asciiTheme="minorHAnsi" w:hAnsiTheme="minorHAnsi"/>
          <w:sz w:val="24"/>
          <w:szCs w:val="24"/>
        </w:rPr>
        <w:t>do not report</w:t>
      </w:r>
      <w:r w:rsidRPr="00F314C1">
        <w:rPr>
          <w:rFonts w:asciiTheme="minorHAnsi" w:hAnsiTheme="minorHAnsi"/>
          <w:sz w:val="24"/>
          <w:szCs w:val="24"/>
        </w:rPr>
        <w:t xml:space="preserve"> the volume of fish consumed by participants, nor the specific type of fish or seafood </w:t>
      </w:r>
      <w:r w:rsidR="00F12E6A" w:rsidRPr="00F314C1">
        <w:rPr>
          <w:rFonts w:asciiTheme="minorHAnsi" w:hAnsiTheme="minorHAnsi"/>
          <w:sz w:val="24"/>
          <w:szCs w:val="24"/>
        </w:rPr>
        <w:t>consumed</w:t>
      </w:r>
      <w:r w:rsidRPr="00F314C1">
        <w:rPr>
          <w:rFonts w:asciiTheme="minorHAnsi" w:hAnsiTheme="minorHAnsi"/>
          <w:sz w:val="24"/>
          <w:szCs w:val="24"/>
        </w:rPr>
        <w:t>. The report characterizes the diet of participants in the two study regions using consolidated food groups. The results do provide the relative percent of caloric intake that is contributed to the participants’ diet from locally sourced fish and seafood. Findings of specific nutrients, such as omega-3 fatty acids, indicate that fish and seafood consumption among the study population is greater than that of the general U.S. population, and that fish and seafood consumption varies between the two study regions. Although information on fish consumption by species and volume</w:t>
      </w:r>
      <w:r w:rsidR="00472EA3">
        <w:rPr>
          <w:rFonts w:asciiTheme="minorHAnsi" w:hAnsiTheme="minorHAnsi"/>
          <w:sz w:val="24"/>
          <w:szCs w:val="24"/>
        </w:rPr>
        <w:t xml:space="preserve"> are</w:t>
      </w:r>
      <w:r w:rsidR="0076720D" w:rsidRPr="00F314C1">
        <w:rPr>
          <w:rFonts w:asciiTheme="minorHAnsi" w:hAnsiTheme="minorHAnsi"/>
          <w:sz w:val="24"/>
          <w:szCs w:val="24"/>
        </w:rPr>
        <w:t xml:space="preserve"> not reported</w:t>
      </w:r>
      <w:r w:rsidRPr="00F314C1">
        <w:rPr>
          <w:rFonts w:asciiTheme="minorHAnsi" w:hAnsiTheme="minorHAnsi"/>
          <w:sz w:val="24"/>
          <w:szCs w:val="24"/>
        </w:rPr>
        <w:t>, the dietary intake measurements collected du</w:t>
      </w:r>
      <w:r w:rsidR="002C6CE3" w:rsidRPr="00F314C1">
        <w:rPr>
          <w:rFonts w:asciiTheme="minorHAnsi" w:hAnsiTheme="minorHAnsi"/>
          <w:sz w:val="24"/>
          <w:szCs w:val="24"/>
        </w:rPr>
        <w:t>ring the recalls likely contain</w:t>
      </w:r>
      <w:r w:rsidRPr="00F314C1">
        <w:rPr>
          <w:rFonts w:asciiTheme="minorHAnsi" w:hAnsiTheme="minorHAnsi"/>
          <w:sz w:val="24"/>
          <w:szCs w:val="24"/>
        </w:rPr>
        <w:t xml:space="preserve"> information that </w:t>
      </w:r>
      <w:r w:rsidR="0076720D" w:rsidRPr="00F314C1">
        <w:rPr>
          <w:rFonts w:asciiTheme="minorHAnsi" w:hAnsiTheme="minorHAnsi"/>
          <w:sz w:val="24"/>
          <w:szCs w:val="24"/>
        </w:rPr>
        <w:t xml:space="preserve">may </w:t>
      </w:r>
      <w:r w:rsidR="002C6CE3" w:rsidRPr="00F314C1">
        <w:rPr>
          <w:rFonts w:asciiTheme="minorHAnsi" w:hAnsiTheme="minorHAnsi"/>
          <w:sz w:val="24"/>
          <w:szCs w:val="24"/>
        </w:rPr>
        <w:t>be useful for</w:t>
      </w:r>
      <w:r w:rsidRPr="00F314C1">
        <w:rPr>
          <w:rFonts w:asciiTheme="minorHAnsi" w:hAnsiTheme="minorHAnsi"/>
          <w:sz w:val="24"/>
          <w:szCs w:val="24"/>
        </w:rPr>
        <w:t xml:space="preserve"> the development of a </w:t>
      </w:r>
      <w:r w:rsidR="007F6D08" w:rsidRPr="00F314C1">
        <w:rPr>
          <w:rFonts w:asciiTheme="minorHAnsi" w:hAnsiTheme="minorHAnsi"/>
          <w:sz w:val="24"/>
          <w:szCs w:val="24"/>
        </w:rPr>
        <w:t>FCR</w:t>
      </w:r>
      <w:r w:rsidRPr="00F314C1">
        <w:rPr>
          <w:rFonts w:asciiTheme="minorHAnsi" w:hAnsiTheme="minorHAnsi"/>
          <w:sz w:val="24"/>
          <w:szCs w:val="24"/>
        </w:rPr>
        <w:t xml:space="preserve"> for the specific regions studied, if th</w:t>
      </w:r>
      <w:r w:rsidR="0076720D" w:rsidRPr="00F314C1">
        <w:rPr>
          <w:rFonts w:asciiTheme="minorHAnsi" w:hAnsiTheme="minorHAnsi"/>
          <w:sz w:val="24"/>
          <w:szCs w:val="24"/>
        </w:rPr>
        <w:t>e</w:t>
      </w:r>
      <w:r w:rsidRPr="00F314C1">
        <w:rPr>
          <w:rFonts w:asciiTheme="minorHAnsi" w:hAnsiTheme="minorHAnsi"/>
          <w:sz w:val="24"/>
          <w:szCs w:val="24"/>
        </w:rPr>
        <w:t xml:space="preserve"> original data can be obtained.</w:t>
      </w:r>
    </w:p>
    <w:p w14:paraId="64988007" w14:textId="77777777" w:rsidR="006E1807" w:rsidRPr="00564F7E" w:rsidRDefault="006E1807" w:rsidP="00C379D4">
      <w:pPr>
        <w:pStyle w:val="Heading2"/>
        <w:spacing w:before="0" w:after="60"/>
        <w:jc w:val="both"/>
        <w:rPr>
          <w:szCs w:val="24"/>
        </w:rPr>
      </w:pPr>
      <w:bookmarkStart w:id="43" w:name="_Toc390121659"/>
      <w:r w:rsidRPr="00564F7E">
        <w:rPr>
          <w:szCs w:val="24"/>
        </w:rPr>
        <w:lastRenderedPageBreak/>
        <w:t>The Diet of Alaska Native Adults: 1987-1988</w:t>
      </w:r>
      <w:bookmarkEnd w:id="43"/>
    </w:p>
    <w:p w14:paraId="64988009" w14:textId="4A07034C" w:rsidR="006E1807" w:rsidRPr="00F314C1" w:rsidRDefault="006E1807" w:rsidP="00C379D4">
      <w:pPr>
        <w:pStyle w:val="Heading3"/>
        <w:spacing w:before="0" w:after="60"/>
        <w:jc w:val="both"/>
        <w:rPr>
          <w:sz w:val="24"/>
          <w:szCs w:val="24"/>
        </w:rPr>
      </w:pPr>
      <w:bookmarkStart w:id="44" w:name="_Toc390121660"/>
      <w:r w:rsidRPr="00F314C1">
        <w:rPr>
          <w:sz w:val="24"/>
          <w:szCs w:val="24"/>
        </w:rPr>
        <w:t xml:space="preserve">Elizabeth D. Nobmann, Tim Byers, Anne. P Lanier, Jean H. </w:t>
      </w:r>
      <w:proofErr w:type="spellStart"/>
      <w:r w:rsidRPr="00F314C1">
        <w:rPr>
          <w:sz w:val="24"/>
          <w:szCs w:val="24"/>
        </w:rPr>
        <w:t>Hankin</w:t>
      </w:r>
      <w:proofErr w:type="spellEnd"/>
      <w:r w:rsidRPr="00F314C1">
        <w:rPr>
          <w:sz w:val="24"/>
          <w:szCs w:val="24"/>
        </w:rPr>
        <w:t xml:space="preserve"> and M. Yvonne Jackson</w:t>
      </w:r>
      <w:bookmarkEnd w:id="44"/>
      <w:r w:rsidR="00880FD5" w:rsidRPr="00F314C1">
        <w:rPr>
          <w:sz w:val="24"/>
          <w:szCs w:val="24"/>
        </w:rPr>
        <w:t xml:space="preserve">; </w:t>
      </w:r>
      <w:bookmarkStart w:id="45" w:name="_Toc390121661"/>
      <w:r w:rsidRPr="00F314C1">
        <w:rPr>
          <w:sz w:val="24"/>
          <w:szCs w:val="24"/>
        </w:rPr>
        <w:t>American Journal of Clinical Nutrition, 1992</w:t>
      </w:r>
      <w:bookmarkEnd w:id="45"/>
    </w:p>
    <w:p w14:paraId="432D1BB3" w14:textId="77777777" w:rsidR="00C209C9" w:rsidRPr="00F314C1" w:rsidRDefault="00C209C9" w:rsidP="00C379D4">
      <w:pPr>
        <w:pStyle w:val="Heading4"/>
        <w:keepNext/>
        <w:jc w:val="both"/>
        <w:rPr>
          <w:sz w:val="24"/>
          <w:szCs w:val="24"/>
        </w:rPr>
      </w:pPr>
      <w:r w:rsidRPr="00F314C1">
        <w:rPr>
          <w:sz w:val="24"/>
          <w:szCs w:val="24"/>
        </w:rPr>
        <w:t xml:space="preserve">General Information </w:t>
      </w:r>
    </w:p>
    <w:p w14:paraId="6498800B" w14:textId="35EF586F" w:rsidR="004B68D4" w:rsidRPr="00F314C1" w:rsidRDefault="004B68D4" w:rsidP="00C379D4">
      <w:pPr>
        <w:keepNext/>
        <w:jc w:val="both"/>
        <w:rPr>
          <w:rFonts w:asciiTheme="minorHAnsi" w:hAnsiTheme="minorHAnsi"/>
          <w:sz w:val="24"/>
          <w:szCs w:val="24"/>
        </w:rPr>
      </w:pPr>
      <w:r w:rsidRPr="00F314C1">
        <w:rPr>
          <w:rFonts w:asciiTheme="minorHAnsi" w:hAnsiTheme="minorHAnsi"/>
          <w:sz w:val="24"/>
          <w:szCs w:val="24"/>
        </w:rPr>
        <w:t>Researchers investigated the role of diet in chronic diseases such as heart disease, cancer, diabetes</w:t>
      </w:r>
      <w:r w:rsidR="008526F6" w:rsidRPr="00F314C1">
        <w:rPr>
          <w:rFonts w:asciiTheme="minorHAnsi" w:hAnsiTheme="minorHAnsi"/>
          <w:sz w:val="24"/>
          <w:szCs w:val="24"/>
        </w:rPr>
        <w:t>,</w:t>
      </w:r>
      <w:r w:rsidRPr="00F314C1">
        <w:rPr>
          <w:rFonts w:asciiTheme="minorHAnsi" w:hAnsiTheme="minorHAnsi"/>
          <w:sz w:val="24"/>
          <w:szCs w:val="24"/>
        </w:rPr>
        <w:t xml:space="preserve"> and iron deficiency-anemia by assessing the seasonal dietary intakes of </w:t>
      </w:r>
      <w:r w:rsidR="008526F6" w:rsidRPr="00F314C1">
        <w:rPr>
          <w:rFonts w:asciiTheme="minorHAnsi" w:hAnsiTheme="minorHAnsi"/>
          <w:sz w:val="24"/>
          <w:szCs w:val="24"/>
        </w:rPr>
        <w:t xml:space="preserve">more than </w:t>
      </w:r>
      <w:r w:rsidRPr="00F314C1">
        <w:rPr>
          <w:rFonts w:asciiTheme="minorHAnsi" w:hAnsiTheme="minorHAnsi"/>
          <w:sz w:val="24"/>
          <w:szCs w:val="24"/>
        </w:rPr>
        <w:t xml:space="preserve">300 Alaska Native adults from 11 communities during 1987-1988. </w:t>
      </w:r>
      <w:r w:rsidR="008526F6" w:rsidRPr="00F314C1">
        <w:rPr>
          <w:rFonts w:asciiTheme="minorHAnsi" w:hAnsiTheme="minorHAnsi"/>
          <w:sz w:val="24"/>
          <w:szCs w:val="24"/>
        </w:rPr>
        <w:t>Prior to this,</w:t>
      </w:r>
      <w:r w:rsidRPr="00F314C1">
        <w:rPr>
          <w:rFonts w:asciiTheme="minorHAnsi" w:hAnsiTheme="minorHAnsi"/>
          <w:sz w:val="24"/>
          <w:szCs w:val="24"/>
        </w:rPr>
        <w:t xml:space="preserve"> no comprehensive study of the diet of Alaska Natives had been conducted. </w:t>
      </w:r>
      <w:r w:rsidR="008526F6" w:rsidRPr="00F314C1">
        <w:rPr>
          <w:rFonts w:asciiTheme="minorHAnsi" w:hAnsiTheme="minorHAnsi"/>
          <w:sz w:val="24"/>
          <w:szCs w:val="24"/>
        </w:rPr>
        <w:t>The objectives of the research were</w:t>
      </w:r>
      <w:r w:rsidRPr="00F314C1">
        <w:rPr>
          <w:rFonts w:asciiTheme="minorHAnsi" w:hAnsiTheme="minorHAnsi"/>
          <w:sz w:val="24"/>
          <w:szCs w:val="24"/>
        </w:rPr>
        <w:t xml:space="preserve"> to</w:t>
      </w:r>
      <w:r w:rsidR="008526F6" w:rsidRPr="00F314C1">
        <w:rPr>
          <w:rFonts w:asciiTheme="minorHAnsi" w:hAnsiTheme="minorHAnsi"/>
          <w:sz w:val="24"/>
          <w:szCs w:val="24"/>
        </w:rPr>
        <w:t>:</w:t>
      </w:r>
      <w:r w:rsidRPr="00F314C1">
        <w:rPr>
          <w:rFonts w:asciiTheme="minorHAnsi" w:hAnsiTheme="minorHAnsi"/>
          <w:sz w:val="24"/>
          <w:szCs w:val="24"/>
        </w:rPr>
        <w:t xml:space="preserve"> determine the eating practices of Alaska Native adults</w:t>
      </w:r>
      <w:r w:rsidR="008526F6" w:rsidRPr="00F314C1">
        <w:rPr>
          <w:rFonts w:asciiTheme="minorHAnsi" w:hAnsiTheme="minorHAnsi"/>
          <w:sz w:val="24"/>
          <w:szCs w:val="24"/>
        </w:rPr>
        <w:t>;</w:t>
      </w:r>
      <w:r w:rsidRPr="00F314C1">
        <w:rPr>
          <w:rFonts w:asciiTheme="minorHAnsi" w:hAnsiTheme="minorHAnsi"/>
          <w:sz w:val="24"/>
          <w:szCs w:val="24"/>
        </w:rPr>
        <w:t xml:space="preserve"> identify differences in between the Alaska Native diet and that of the U.S. as a whole</w:t>
      </w:r>
      <w:r w:rsidR="008526F6" w:rsidRPr="00F314C1">
        <w:rPr>
          <w:rFonts w:asciiTheme="minorHAnsi" w:hAnsiTheme="minorHAnsi"/>
          <w:sz w:val="24"/>
          <w:szCs w:val="24"/>
        </w:rPr>
        <w:t>;</w:t>
      </w:r>
      <w:r w:rsidRPr="00F314C1">
        <w:rPr>
          <w:rFonts w:asciiTheme="minorHAnsi" w:hAnsiTheme="minorHAnsi"/>
          <w:sz w:val="24"/>
          <w:szCs w:val="24"/>
        </w:rPr>
        <w:t xml:space="preserve"> identify changes in diet over time</w:t>
      </w:r>
      <w:r w:rsidR="008526F6" w:rsidRPr="00F314C1">
        <w:rPr>
          <w:rFonts w:asciiTheme="minorHAnsi" w:hAnsiTheme="minorHAnsi"/>
          <w:sz w:val="24"/>
          <w:szCs w:val="24"/>
        </w:rPr>
        <w:t>;</w:t>
      </w:r>
      <w:r w:rsidRPr="00F314C1">
        <w:rPr>
          <w:rFonts w:asciiTheme="minorHAnsi" w:hAnsiTheme="minorHAnsi"/>
          <w:sz w:val="24"/>
          <w:szCs w:val="24"/>
        </w:rPr>
        <w:t xml:space="preserve"> and provide practical dietary recommendations for chronic disease prevention in the Alaska Native population. </w:t>
      </w:r>
    </w:p>
    <w:p w14:paraId="6498800C" w14:textId="77777777" w:rsidR="004B68D4" w:rsidRPr="00F314C1" w:rsidRDefault="004B68D4" w:rsidP="00C379D4">
      <w:pPr>
        <w:pStyle w:val="Heading4"/>
        <w:jc w:val="both"/>
        <w:rPr>
          <w:sz w:val="24"/>
          <w:szCs w:val="24"/>
        </w:rPr>
      </w:pPr>
      <w:r w:rsidRPr="00F314C1">
        <w:rPr>
          <w:sz w:val="24"/>
          <w:szCs w:val="24"/>
        </w:rPr>
        <w:t>Study Population</w:t>
      </w:r>
    </w:p>
    <w:p w14:paraId="6498800D" w14:textId="20C82DB9" w:rsidR="00F71776" w:rsidRPr="00F314C1" w:rsidRDefault="008526F6" w:rsidP="00C379D4">
      <w:pPr>
        <w:jc w:val="both"/>
        <w:rPr>
          <w:rFonts w:asciiTheme="minorHAnsi" w:hAnsiTheme="minorHAnsi"/>
          <w:sz w:val="24"/>
          <w:szCs w:val="24"/>
        </w:rPr>
      </w:pPr>
      <w:r w:rsidRPr="00F314C1">
        <w:rPr>
          <w:rFonts w:asciiTheme="minorHAnsi" w:hAnsiTheme="minorHAnsi"/>
          <w:sz w:val="24"/>
          <w:szCs w:val="24"/>
        </w:rPr>
        <w:t xml:space="preserve">Eleven </w:t>
      </w:r>
      <w:r w:rsidR="008E104C" w:rsidRPr="00F314C1">
        <w:rPr>
          <w:rFonts w:asciiTheme="minorHAnsi" w:hAnsiTheme="minorHAnsi"/>
          <w:sz w:val="24"/>
          <w:szCs w:val="24"/>
        </w:rPr>
        <w:t xml:space="preserve">communities that </w:t>
      </w:r>
      <w:r w:rsidRPr="00F314C1">
        <w:rPr>
          <w:rFonts w:asciiTheme="minorHAnsi" w:hAnsiTheme="minorHAnsi"/>
          <w:sz w:val="24"/>
          <w:szCs w:val="24"/>
        </w:rPr>
        <w:t xml:space="preserve">represent a range of </w:t>
      </w:r>
      <w:r w:rsidR="008E104C" w:rsidRPr="00F314C1">
        <w:rPr>
          <w:rFonts w:asciiTheme="minorHAnsi" w:hAnsiTheme="minorHAnsi"/>
          <w:sz w:val="24"/>
          <w:szCs w:val="24"/>
        </w:rPr>
        <w:t>ethnic and socioeconomic regions were selected for th</w:t>
      </w:r>
      <w:r w:rsidRPr="00F314C1">
        <w:rPr>
          <w:rFonts w:asciiTheme="minorHAnsi" w:hAnsiTheme="minorHAnsi"/>
          <w:sz w:val="24"/>
          <w:szCs w:val="24"/>
        </w:rPr>
        <w:t>e</w:t>
      </w:r>
      <w:r w:rsidR="008E104C" w:rsidRPr="00F314C1">
        <w:rPr>
          <w:rFonts w:asciiTheme="minorHAnsi" w:hAnsiTheme="minorHAnsi"/>
          <w:sz w:val="24"/>
          <w:szCs w:val="24"/>
        </w:rPr>
        <w:t xml:space="preserve"> study. Using Indian Health Service</w:t>
      </w:r>
      <w:r w:rsidR="00906881" w:rsidRPr="00F314C1">
        <w:rPr>
          <w:rFonts w:asciiTheme="minorHAnsi" w:hAnsiTheme="minorHAnsi"/>
          <w:sz w:val="24"/>
          <w:szCs w:val="24"/>
        </w:rPr>
        <w:t xml:space="preserve"> (IHS)</w:t>
      </w:r>
      <w:r w:rsidR="008E104C" w:rsidRPr="00F314C1">
        <w:rPr>
          <w:rFonts w:asciiTheme="minorHAnsi" w:hAnsiTheme="minorHAnsi"/>
          <w:sz w:val="24"/>
          <w:szCs w:val="24"/>
        </w:rPr>
        <w:t xml:space="preserve"> records of Alaska Native residents with an address in the selected communities</w:t>
      </w:r>
      <w:r w:rsidR="002C6CE3" w:rsidRPr="00F314C1">
        <w:rPr>
          <w:rFonts w:asciiTheme="minorHAnsi" w:hAnsiTheme="minorHAnsi"/>
          <w:sz w:val="24"/>
          <w:szCs w:val="24"/>
        </w:rPr>
        <w:t>,</w:t>
      </w:r>
      <w:r w:rsidR="008E104C" w:rsidRPr="00F314C1">
        <w:rPr>
          <w:rFonts w:asciiTheme="minorHAnsi" w:hAnsiTheme="minorHAnsi"/>
          <w:sz w:val="24"/>
          <w:szCs w:val="24"/>
        </w:rPr>
        <w:t xml:space="preserve"> a sample of 873 men and women, aged 21-60 years</w:t>
      </w:r>
      <w:r w:rsidRPr="00F314C1">
        <w:rPr>
          <w:rFonts w:asciiTheme="minorHAnsi" w:hAnsiTheme="minorHAnsi"/>
          <w:sz w:val="24"/>
          <w:szCs w:val="24"/>
        </w:rPr>
        <w:t>,</w:t>
      </w:r>
      <w:r w:rsidR="008E104C" w:rsidRPr="00F314C1">
        <w:rPr>
          <w:rFonts w:asciiTheme="minorHAnsi" w:hAnsiTheme="minorHAnsi"/>
          <w:sz w:val="24"/>
          <w:szCs w:val="24"/>
        </w:rPr>
        <w:t xml:space="preserve"> was drawn. People who moved, had a mental or physical disability that prevented them from completing the interview</w:t>
      </w:r>
      <w:r w:rsidR="002C6CE3" w:rsidRPr="00F314C1">
        <w:rPr>
          <w:rFonts w:asciiTheme="minorHAnsi" w:hAnsiTheme="minorHAnsi"/>
          <w:sz w:val="24"/>
          <w:szCs w:val="24"/>
        </w:rPr>
        <w:t>,</w:t>
      </w:r>
      <w:r w:rsidR="008E104C" w:rsidRPr="00F314C1">
        <w:rPr>
          <w:rFonts w:asciiTheme="minorHAnsi" w:hAnsiTheme="minorHAnsi"/>
          <w:sz w:val="24"/>
          <w:szCs w:val="24"/>
        </w:rPr>
        <w:t xml:space="preserve"> or </w:t>
      </w:r>
      <w:r w:rsidR="002C6CE3" w:rsidRPr="00F314C1">
        <w:rPr>
          <w:rFonts w:asciiTheme="minorHAnsi" w:hAnsiTheme="minorHAnsi"/>
          <w:sz w:val="24"/>
          <w:szCs w:val="24"/>
        </w:rPr>
        <w:t xml:space="preserve">who </w:t>
      </w:r>
      <w:r w:rsidR="008E104C" w:rsidRPr="00F314C1">
        <w:rPr>
          <w:rFonts w:asciiTheme="minorHAnsi" w:hAnsiTheme="minorHAnsi"/>
          <w:sz w:val="24"/>
          <w:szCs w:val="24"/>
        </w:rPr>
        <w:t>could not be contacted after three attempts were excluded from the study. A total of 351 participants were included in the final survey.</w:t>
      </w:r>
      <w:r w:rsidR="00383AB3" w:rsidRPr="00F314C1">
        <w:rPr>
          <w:rFonts w:asciiTheme="minorHAnsi" w:hAnsiTheme="minorHAnsi"/>
          <w:sz w:val="24"/>
          <w:szCs w:val="24"/>
        </w:rPr>
        <w:t xml:space="preserve"> Ethnic distribution of the survey participants was similar to the distribution of Alaska Natives reported in the 1980 census.</w:t>
      </w:r>
    </w:p>
    <w:p w14:paraId="6498800E" w14:textId="77777777" w:rsidR="004B68D4" w:rsidRPr="00F314C1" w:rsidRDefault="004B68D4" w:rsidP="00C379D4">
      <w:pPr>
        <w:pStyle w:val="Heading4"/>
        <w:jc w:val="both"/>
        <w:rPr>
          <w:sz w:val="24"/>
          <w:szCs w:val="24"/>
        </w:rPr>
      </w:pPr>
      <w:r w:rsidRPr="00F314C1">
        <w:rPr>
          <w:sz w:val="24"/>
          <w:szCs w:val="24"/>
        </w:rPr>
        <w:t>Data Collection Methods</w:t>
      </w:r>
    </w:p>
    <w:p w14:paraId="6498800F" w14:textId="6EE1A5DE" w:rsidR="008E104C" w:rsidRPr="00F314C1" w:rsidRDefault="00D87EB2" w:rsidP="00C379D4">
      <w:pPr>
        <w:jc w:val="both"/>
        <w:rPr>
          <w:rFonts w:asciiTheme="minorHAnsi" w:hAnsiTheme="minorHAnsi"/>
          <w:sz w:val="24"/>
          <w:szCs w:val="24"/>
        </w:rPr>
      </w:pPr>
      <w:r w:rsidRPr="00F314C1">
        <w:rPr>
          <w:rFonts w:asciiTheme="minorHAnsi" w:hAnsiTheme="minorHAnsi"/>
          <w:sz w:val="24"/>
          <w:szCs w:val="24"/>
        </w:rPr>
        <w:t>In-person inte</w:t>
      </w:r>
      <w:r w:rsidR="002C6CE3" w:rsidRPr="00F314C1">
        <w:rPr>
          <w:rFonts w:asciiTheme="minorHAnsi" w:hAnsiTheme="minorHAnsi"/>
          <w:sz w:val="24"/>
          <w:szCs w:val="24"/>
        </w:rPr>
        <w:t>rviews were used to complete 24-</w:t>
      </w:r>
      <w:r w:rsidRPr="00F314C1">
        <w:rPr>
          <w:rFonts w:asciiTheme="minorHAnsi" w:hAnsiTheme="minorHAnsi"/>
          <w:sz w:val="24"/>
          <w:szCs w:val="24"/>
        </w:rPr>
        <w:t xml:space="preserve">hour dietary recalls and </w:t>
      </w:r>
      <w:r w:rsidR="00C918D0" w:rsidRPr="00F314C1">
        <w:rPr>
          <w:rFonts w:asciiTheme="minorHAnsi" w:hAnsiTheme="minorHAnsi"/>
          <w:sz w:val="24"/>
          <w:szCs w:val="24"/>
        </w:rPr>
        <w:t xml:space="preserve">collect </w:t>
      </w:r>
      <w:r w:rsidRPr="00F314C1">
        <w:rPr>
          <w:rFonts w:asciiTheme="minorHAnsi" w:hAnsiTheme="minorHAnsi"/>
          <w:sz w:val="24"/>
          <w:szCs w:val="24"/>
        </w:rPr>
        <w:t xml:space="preserve">other questionnaire information on eating practices. </w:t>
      </w:r>
      <w:r w:rsidR="00785E20">
        <w:rPr>
          <w:rFonts w:asciiTheme="minorHAnsi" w:hAnsiTheme="minorHAnsi"/>
          <w:sz w:val="24"/>
          <w:szCs w:val="24"/>
        </w:rPr>
        <w:t xml:space="preserve">The interviewers were either local individuals who were bilingual, or nutritionists with registered dietitian credentials who were </w:t>
      </w:r>
      <w:proofErr w:type="spellStart"/>
      <w:r w:rsidR="00785E20">
        <w:rPr>
          <w:rFonts w:asciiTheme="minorHAnsi" w:hAnsiTheme="minorHAnsi"/>
          <w:sz w:val="24"/>
          <w:szCs w:val="24"/>
        </w:rPr>
        <w:t>streained</w:t>
      </w:r>
      <w:proofErr w:type="spellEnd"/>
      <w:r w:rsidR="00785E20">
        <w:rPr>
          <w:rFonts w:asciiTheme="minorHAnsi" w:hAnsiTheme="minorHAnsi"/>
          <w:sz w:val="24"/>
          <w:szCs w:val="24"/>
        </w:rPr>
        <w:t xml:space="preserve"> in administering the dietary recall interviews and were familiar with the local communities</w:t>
      </w:r>
      <w:r w:rsidRPr="00F314C1">
        <w:rPr>
          <w:rFonts w:asciiTheme="minorHAnsi" w:hAnsiTheme="minorHAnsi"/>
          <w:sz w:val="24"/>
          <w:szCs w:val="24"/>
        </w:rPr>
        <w:t>; most interviews were conducted in the home by a single interviewer. During the interviews</w:t>
      </w:r>
      <w:r w:rsidR="008E104C" w:rsidRPr="00F314C1">
        <w:rPr>
          <w:rFonts w:asciiTheme="minorHAnsi" w:hAnsiTheme="minorHAnsi"/>
          <w:sz w:val="24"/>
          <w:szCs w:val="24"/>
        </w:rPr>
        <w:t>, each participant was asked to recall all foods co</w:t>
      </w:r>
      <w:r w:rsidRPr="00F314C1">
        <w:rPr>
          <w:rFonts w:asciiTheme="minorHAnsi" w:hAnsiTheme="minorHAnsi"/>
          <w:sz w:val="24"/>
          <w:szCs w:val="24"/>
        </w:rPr>
        <w:t xml:space="preserve">nsumed in the previous 24 hours. Five surveys were conducted over an 18 month period to capture seasonable variability in diet. All participants completed at least one recall survey. In total, 995 24-hour recalls were completed by 351 participants during the study period. </w:t>
      </w:r>
      <w:proofErr w:type="gramStart"/>
      <w:r w:rsidR="00007AD9" w:rsidRPr="00F314C1">
        <w:rPr>
          <w:rFonts w:asciiTheme="minorHAnsi" w:hAnsiTheme="minorHAnsi"/>
          <w:sz w:val="24"/>
          <w:szCs w:val="24"/>
        </w:rPr>
        <w:t>Interviewers</w:t>
      </w:r>
      <w:proofErr w:type="gramEnd"/>
      <w:r w:rsidR="00007AD9" w:rsidRPr="00F314C1">
        <w:rPr>
          <w:rFonts w:asciiTheme="minorHAnsi" w:hAnsiTheme="minorHAnsi"/>
          <w:sz w:val="24"/>
          <w:szCs w:val="24"/>
        </w:rPr>
        <w:t xml:space="preserve"> utilized kits containing gram scales, rulers, measuring cups, spoons</w:t>
      </w:r>
      <w:r w:rsidR="0040435D" w:rsidRPr="00F314C1">
        <w:rPr>
          <w:rFonts w:asciiTheme="minorHAnsi" w:hAnsiTheme="minorHAnsi"/>
          <w:sz w:val="24"/>
          <w:szCs w:val="24"/>
        </w:rPr>
        <w:t>,</w:t>
      </w:r>
      <w:r w:rsidR="00007AD9" w:rsidRPr="00F314C1">
        <w:rPr>
          <w:rFonts w:asciiTheme="minorHAnsi" w:hAnsiTheme="minorHAnsi"/>
          <w:sz w:val="24"/>
          <w:szCs w:val="24"/>
        </w:rPr>
        <w:t xml:space="preserve"> and standard plates and glasses to assist participants </w:t>
      </w:r>
      <w:r w:rsidR="0040435D" w:rsidRPr="00F314C1">
        <w:rPr>
          <w:rFonts w:asciiTheme="minorHAnsi" w:hAnsiTheme="minorHAnsi"/>
          <w:sz w:val="24"/>
          <w:szCs w:val="24"/>
        </w:rPr>
        <w:t xml:space="preserve">with </w:t>
      </w:r>
      <w:r w:rsidR="00007AD9" w:rsidRPr="00F314C1">
        <w:rPr>
          <w:rFonts w:asciiTheme="minorHAnsi" w:hAnsiTheme="minorHAnsi"/>
          <w:sz w:val="24"/>
          <w:szCs w:val="24"/>
        </w:rPr>
        <w:t>estimating accurate serving sizes.</w:t>
      </w:r>
    </w:p>
    <w:p w14:paraId="74903097" w14:textId="0A4AEB41" w:rsidR="00D87EB2" w:rsidRPr="00F314C1" w:rsidRDefault="00D87EB2" w:rsidP="00F314C1">
      <w:pPr>
        <w:jc w:val="both"/>
        <w:rPr>
          <w:rFonts w:asciiTheme="minorHAnsi" w:hAnsiTheme="minorHAnsi"/>
          <w:sz w:val="24"/>
          <w:szCs w:val="24"/>
        </w:rPr>
      </w:pPr>
      <w:r w:rsidRPr="00F314C1">
        <w:rPr>
          <w:rFonts w:asciiTheme="minorHAnsi" w:hAnsiTheme="minorHAnsi"/>
          <w:sz w:val="24"/>
          <w:szCs w:val="24"/>
        </w:rPr>
        <w:t>Information from the dietary recalls and questionnair</w:t>
      </w:r>
      <w:r w:rsidR="00007AD9" w:rsidRPr="00F314C1">
        <w:rPr>
          <w:rFonts w:asciiTheme="minorHAnsi" w:hAnsiTheme="minorHAnsi"/>
          <w:sz w:val="24"/>
          <w:szCs w:val="24"/>
        </w:rPr>
        <w:t xml:space="preserve">es was entered into a computer using the </w:t>
      </w:r>
      <w:r w:rsidR="00383AB3" w:rsidRPr="00F314C1">
        <w:rPr>
          <w:rFonts w:asciiTheme="minorHAnsi" w:hAnsiTheme="minorHAnsi"/>
          <w:sz w:val="24"/>
          <w:szCs w:val="24"/>
        </w:rPr>
        <w:t>Dietetics</w:t>
      </w:r>
      <w:r w:rsidR="00007AD9" w:rsidRPr="00F314C1">
        <w:rPr>
          <w:rFonts w:asciiTheme="minorHAnsi" w:hAnsiTheme="minorHAnsi"/>
          <w:sz w:val="24"/>
          <w:szCs w:val="24"/>
        </w:rPr>
        <w:t xml:space="preserve"> Automatic Data Processing Application. In addition to the 2400 foods </w:t>
      </w:r>
      <w:r w:rsidR="00383AB3" w:rsidRPr="00F314C1">
        <w:rPr>
          <w:rFonts w:asciiTheme="minorHAnsi" w:hAnsiTheme="minorHAnsi"/>
          <w:sz w:val="24"/>
          <w:szCs w:val="24"/>
        </w:rPr>
        <w:t>included in the software nutrient database</w:t>
      </w:r>
      <w:r w:rsidR="00FA3456" w:rsidRPr="00F314C1">
        <w:rPr>
          <w:rFonts w:asciiTheme="minorHAnsi" w:hAnsiTheme="minorHAnsi"/>
          <w:sz w:val="24"/>
          <w:szCs w:val="24"/>
        </w:rPr>
        <w:t xml:space="preserve">, </w:t>
      </w:r>
      <w:r w:rsidR="00007AD9" w:rsidRPr="00F314C1">
        <w:rPr>
          <w:rFonts w:asciiTheme="minorHAnsi" w:hAnsiTheme="minorHAnsi"/>
          <w:sz w:val="24"/>
          <w:szCs w:val="24"/>
        </w:rPr>
        <w:t xml:space="preserve">210 </w:t>
      </w:r>
      <w:r w:rsidR="00906881" w:rsidRPr="00F314C1">
        <w:rPr>
          <w:rFonts w:asciiTheme="minorHAnsi" w:hAnsiTheme="minorHAnsi"/>
          <w:sz w:val="24"/>
          <w:szCs w:val="24"/>
        </w:rPr>
        <w:t>subsistence</w:t>
      </w:r>
      <w:r w:rsidR="00FA3456" w:rsidRPr="00F314C1">
        <w:rPr>
          <w:rFonts w:asciiTheme="minorHAnsi" w:hAnsiTheme="minorHAnsi"/>
          <w:sz w:val="24"/>
          <w:szCs w:val="24"/>
        </w:rPr>
        <w:t xml:space="preserve"> </w:t>
      </w:r>
      <w:r w:rsidR="00007AD9" w:rsidRPr="00F314C1">
        <w:rPr>
          <w:rFonts w:asciiTheme="minorHAnsi" w:hAnsiTheme="minorHAnsi"/>
          <w:sz w:val="24"/>
          <w:szCs w:val="24"/>
        </w:rPr>
        <w:t>foods consumed by Alaska Nat</w:t>
      </w:r>
      <w:r w:rsidR="00383AB3" w:rsidRPr="00F314C1">
        <w:rPr>
          <w:rFonts w:asciiTheme="minorHAnsi" w:hAnsiTheme="minorHAnsi"/>
          <w:sz w:val="24"/>
          <w:szCs w:val="24"/>
        </w:rPr>
        <w:t>ives were added</w:t>
      </w:r>
      <w:r w:rsidR="00007AD9" w:rsidRPr="00F314C1">
        <w:rPr>
          <w:rFonts w:asciiTheme="minorHAnsi" w:hAnsiTheme="minorHAnsi"/>
          <w:sz w:val="24"/>
          <w:szCs w:val="24"/>
        </w:rPr>
        <w:t xml:space="preserve">. </w:t>
      </w:r>
      <w:r w:rsidR="00002099" w:rsidRPr="00F314C1">
        <w:rPr>
          <w:rFonts w:asciiTheme="minorHAnsi" w:hAnsiTheme="minorHAnsi"/>
          <w:sz w:val="24"/>
          <w:szCs w:val="24"/>
        </w:rPr>
        <w:tab/>
      </w:r>
    </w:p>
    <w:p w14:paraId="64988011" w14:textId="77777777" w:rsidR="004B68D4" w:rsidRPr="00F314C1" w:rsidRDefault="004B68D4" w:rsidP="00C379D4">
      <w:pPr>
        <w:pStyle w:val="Heading4"/>
        <w:keepNext/>
        <w:jc w:val="both"/>
        <w:rPr>
          <w:sz w:val="24"/>
          <w:szCs w:val="24"/>
        </w:rPr>
      </w:pPr>
      <w:r w:rsidRPr="00F314C1">
        <w:rPr>
          <w:sz w:val="24"/>
          <w:szCs w:val="24"/>
        </w:rPr>
        <w:lastRenderedPageBreak/>
        <w:t xml:space="preserve">Description of Data </w:t>
      </w:r>
    </w:p>
    <w:p w14:paraId="64988012" w14:textId="3FAD0362" w:rsidR="009B398E" w:rsidRPr="00F314C1" w:rsidRDefault="009B398E" w:rsidP="00C379D4">
      <w:pPr>
        <w:keepNext/>
        <w:jc w:val="both"/>
        <w:rPr>
          <w:rFonts w:asciiTheme="minorHAnsi" w:hAnsiTheme="minorHAnsi"/>
          <w:sz w:val="24"/>
          <w:szCs w:val="24"/>
        </w:rPr>
      </w:pPr>
      <w:r w:rsidRPr="00F314C1">
        <w:rPr>
          <w:rFonts w:asciiTheme="minorHAnsi" w:hAnsiTheme="minorHAnsi"/>
          <w:sz w:val="24"/>
          <w:szCs w:val="24"/>
        </w:rPr>
        <w:t>Food intake was analyzed by the frequency and quantity of foods consumed.</w:t>
      </w:r>
      <w:r w:rsidR="00383AB3" w:rsidRPr="00F314C1">
        <w:rPr>
          <w:rFonts w:asciiTheme="minorHAnsi" w:hAnsiTheme="minorHAnsi"/>
          <w:sz w:val="24"/>
          <w:szCs w:val="24"/>
        </w:rPr>
        <w:t xml:space="preserve"> The frequency of food consumption was measured by ranking the total number of times a food was mentioned by all respondents</w:t>
      </w:r>
      <w:r w:rsidR="006F53A1" w:rsidRPr="00F314C1">
        <w:rPr>
          <w:rFonts w:asciiTheme="minorHAnsi" w:hAnsiTheme="minorHAnsi"/>
          <w:sz w:val="24"/>
          <w:szCs w:val="24"/>
        </w:rPr>
        <w:t>;</w:t>
      </w:r>
      <w:r w:rsidR="00383AB3" w:rsidRPr="00F314C1">
        <w:rPr>
          <w:rFonts w:asciiTheme="minorHAnsi" w:hAnsiTheme="minorHAnsi"/>
          <w:sz w:val="24"/>
          <w:szCs w:val="24"/>
        </w:rPr>
        <w:t xml:space="preserve"> the top 20 most frequently consumed foods are included in the study report.</w:t>
      </w:r>
    </w:p>
    <w:p w14:paraId="64988013" w14:textId="77777777" w:rsidR="004B68D4" w:rsidRPr="00F314C1" w:rsidRDefault="004B68D4" w:rsidP="00C379D4">
      <w:pPr>
        <w:pStyle w:val="Heading4"/>
        <w:keepNext/>
        <w:jc w:val="both"/>
        <w:rPr>
          <w:sz w:val="24"/>
          <w:szCs w:val="24"/>
        </w:rPr>
      </w:pPr>
      <w:r w:rsidRPr="00F314C1">
        <w:rPr>
          <w:sz w:val="24"/>
          <w:szCs w:val="24"/>
        </w:rPr>
        <w:t>QA/QC Procedures</w:t>
      </w:r>
    </w:p>
    <w:p w14:paraId="64988014" w14:textId="6F866C26" w:rsidR="00383AB3" w:rsidRPr="00F314C1" w:rsidRDefault="00383AB3" w:rsidP="00C379D4">
      <w:pPr>
        <w:keepNext/>
        <w:jc w:val="both"/>
        <w:rPr>
          <w:rFonts w:asciiTheme="minorHAnsi" w:hAnsiTheme="minorHAnsi"/>
          <w:sz w:val="24"/>
          <w:szCs w:val="24"/>
        </w:rPr>
      </w:pPr>
      <w:r w:rsidRPr="00F314C1">
        <w:rPr>
          <w:rFonts w:asciiTheme="minorHAnsi" w:hAnsiTheme="minorHAnsi"/>
          <w:sz w:val="24"/>
          <w:szCs w:val="24"/>
        </w:rPr>
        <w:t xml:space="preserve">Approval </w:t>
      </w:r>
      <w:r w:rsidR="006F53A1" w:rsidRPr="00F314C1">
        <w:rPr>
          <w:rFonts w:asciiTheme="minorHAnsi" w:hAnsiTheme="minorHAnsi"/>
          <w:sz w:val="24"/>
          <w:szCs w:val="24"/>
        </w:rPr>
        <w:t xml:space="preserve">to </w:t>
      </w:r>
      <w:r w:rsidRPr="00F314C1">
        <w:rPr>
          <w:rFonts w:asciiTheme="minorHAnsi" w:hAnsiTheme="minorHAnsi"/>
          <w:sz w:val="24"/>
          <w:szCs w:val="24"/>
        </w:rPr>
        <w:t>conduct th</w:t>
      </w:r>
      <w:r w:rsidR="006F53A1" w:rsidRPr="00F314C1">
        <w:rPr>
          <w:rFonts w:asciiTheme="minorHAnsi" w:hAnsiTheme="minorHAnsi"/>
          <w:sz w:val="24"/>
          <w:szCs w:val="24"/>
        </w:rPr>
        <w:t>e</w:t>
      </w:r>
      <w:r w:rsidRPr="00F314C1">
        <w:rPr>
          <w:rFonts w:asciiTheme="minorHAnsi" w:hAnsiTheme="minorHAnsi"/>
          <w:sz w:val="24"/>
          <w:szCs w:val="24"/>
        </w:rPr>
        <w:t xml:space="preserve"> study was obtained from five Native Regional Health Corporations and the IHS research and publication committee. Informed consent was obtained from all participants. </w:t>
      </w:r>
    </w:p>
    <w:p w14:paraId="64988015" w14:textId="77777777" w:rsidR="00383AB3" w:rsidRPr="00F314C1" w:rsidRDefault="00383AB3" w:rsidP="00C379D4">
      <w:pPr>
        <w:jc w:val="both"/>
        <w:rPr>
          <w:rFonts w:asciiTheme="minorHAnsi" w:hAnsiTheme="minorHAnsi"/>
          <w:sz w:val="24"/>
          <w:szCs w:val="24"/>
        </w:rPr>
      </w:pPr>
      <w:r w:rsidRPr="00F314C1">
        <w:rPr>
          <w:rFonts w:asciiTheme="minorHAnsi" w:hAnsiTheme="minorHAnsi"/>
          <w:sz w:val="24"/>
          <w:szCs w:val="24"/>
        </w:rPr>
        <w:t xml:space="preserve">The interviews were conducted by trained dietary professional with knowledge of the local communities and bilingual capabilities when necessary. </w:t>
      </w:r>
    </w:p>
    <w:p w14:paraId="64988016" w14:textId="77777777" w:rsidR="004B68D4" w:rsidRPr="00F314C1" w:rsidRDefault="004B68D4" w:rsidP="00C379D4">
      <w:pPr>
        <w:pStyle w:val="Heading4"/>
        <w:jc w:val="both"/>
        <w:rPr>
          <w:sz w:val="24"/>
          <w:szCs w:val="24"/>
        </w:rPr>
      </w:pPr>
      <w:r w:rsidRPr="00F314C1">
        <w:rPr>
          <w:sz w:val="24"/>
          <w:szCs w:val="24"/>
        </w:rPr>
        <w:t xml:space="preserve">Findings on Fish Consumption </w:t>
      </w:r>
    </w:p>
    <w:p w14:paraId="64988017" w14:textId="0617EB4E" w:rsidR="00383AB3" w:rsidRPr="00F314C1" w:rsidRDefault="00A83303" w:rsidP="00C379D4">
      <w:pPr>
        <w:jc w:val="both"/>
        <w:rPr>
          <w:rFonts w:asciiTheme="minorHAnsi" w:hAnsiTheme="minorHAnsi"/>
          <w:sz w:val="24"/>
          <w:szCs w:val="24"/>
        </w:rPr>
      </w:pPr>
      <w:r w:rsidRPr="00F314C1">
        <w:rPr>
          <w:rFonts w:asciiTheme="minorHAnsi" w:hAnsiTheme="minorHAnsi"/>
          <w:sz w:val="24"/>
          <w:szCs w:val="24"/>
        </w:rPr>
        <w:t>Fish and shellfish ranked fourth in frequency of foods consumed by Alaska Native adults. On average, the mean daily intake of fish and shellf</w:t>
      </w:r>
      <w:r w:rsidR="002C6CE3" w:rsidRPr="00F314C1">
        <w:rPr>
          <w:rFonts w:asciiTheme="minorHAnsi" w:hAnsiTheme="minorHAnsi"/>
          <w:sz w:val="24"/>
          <w:szCs w:val="24"/>
        </w:rPr>
        <w:t>ish of Alaska Natives was 109 g/day</w:t>
      </w:r>
      <w:r w:rsidRPr="00F314C1">
        <w:rPr>
          <w:rFonts w:asciiTheme="minorHAnsi" w:hAnsiTheme="minorHAnsi"/>
          <w:sz w:val="24"/>
          <w:szCs w:val="24"/>
        </w:rPr>
        <w:t xml:space="preserve"> versus a U.S. average of 17 g</w:t>
      </w:r>
      <w:r w:rsidR="002C6CE3" w:rsidRPr="00F314C1">
        <w:rPr>
          <w:rFonts w:asciiTheme="minorHAnsi" w:hAnsiTheme="minorHAnsi"/>
          <w:sz w:val="24"/>
          <w:szCs w:val="24"/>
        </w:rPr>
        <w:t>/day</w:t>
      </w:r>
      <w:r w:rsidRPr="00F314C1">
        <w:rPr>
          <w:rFonts w:asciiTheme="minorHAnsi" w:hAnsiTheme="minorHAnsi"/>
          <w:sz w:val="24"/>
          <w:szCs w:val="24"/>
        </w:rPr>
        <w:t xml:space="preserve">. Results also showed significant seasonal variation in diet, with fish consumed more frequently in the summer and fall. Among </w:t>
      </w:r>
      <w:r w:rsidR="00906881" w:rsidRPr="00F314C1">
        <w:rPr>
          <w:rFonts w:asciiTheme="minorHAnsi" w:hAnsiTheme="minorHAnsi"/>
          <w:sz w:val="24"/>
          <w:szCs w:val="24"/>
        </w:rPr>
        <w:t>subsistence</w:t>
      </w:r>
      <w:r w:rsidRPr="00F314C1">
        <w:rPr>
          <w:rFonts w:asciiTheme="minorHAnsi" w:hAnsiTheme="minorHAnsi"/>
          <w:sz w:val="24"/>
          <w:szCs w:val="24"/>
        </w:rPr>
        <w:t xml:space="preserve"> foods, salmon and other fish were the most frequently</w:t>
      </w:r>
      <w:r w:rsidR="00906881" w:rsidRPr="00F314C1">
        <w:rPr>
          <w:rFonts w:asciiTheme="minorHAnsi" w:hAnsiTheme="minorHAnsi"/>
          <w:sz w:val="24"/>
          <w:szCs w:val="24"/>
        </w:rPr>
        <w:t xml:space="preserve"> </w:t>
      </w:r>
      <w:proofErr w:type="gramStart"/>
      <w:r w:rsidR="003C1157" w:rsidRPr="00F314C1">
        <w:rPr>
          <w:rFonts w:asciiTheme="minorHAnsi" w:hAnsiTheme="minorHAnsi"/>
          <w:sz w:val="24"/>
          <w:szCs w:val="24"/>
        </w:rPr>
        <w:t>consumed.</w:t>
      </w:r>
      <w:proofErr w:type="gramEnd"/>
      <w:r w:rsidRPr="00F314C1">
        <w:rPr>
          <w:rFonts w:asciiTheme="minorHAnsi" w:hAnsiTheme="minorHAnsi"/>
          <w:sz w:val="24"/>
          <w:szCs w:val="24"/>
        </w:rPr>
        <w:t xml:space="preserve"> </w:t>
      </w:r>
    </w:p>
    <w:p w14:paraId="64988018" w14:textId="74F90954" w:rsidR="004B68D4" w:rsidRPr="00F314C1" w:rsidRDefault="004B68D4" w:rsidP="00C379D4">
      <w:pPr>
        <w:pStyle w:val="Heading4"/>
        <w:jc w:val="both"/>
        <w:rPr>
          <w:sz w:val="24"/>
          <w:szCs w:val="24"/>
        </w:rPr>
      </w:pPr>
      <w:r w:rsidRPr="00F314C1">
        <w:rPr>
          <w:sz w:val="24"/>
          <w:szCs w:val="24"/>
        </w:rPr>
        <w:t xml:space="preserve">Applicability of the Data for use in Determining </w:t>
      </w:r>
      <w:r w:rsidR="007F6D08" w:rsidRPr="00F314C1">
        <w:rPr>
          <w:sz w:val="24"/>
          <w:szCs w:val="24"/>
        </w:rPr>
        <w:t>FCR</w:t>
      </w:r>
      <w:r w:rsidRPr="00F314C1">
        <w:rPr>
          <w:sz w:val="24"/>
          <w:szCs w:val="24"/>
        </w:rPr>
        <w:t>s</w:t>
      </w:r>
    </w:p>
    <w:p w14:paraId="64988019" w14:textId="3A343636" w:rsidR="00A83303" w:rsidRPr="00F314C1" w:rsidRDefault="00A83303" w:rsidP="00C379D4">
      <w:pPr>
        <w:keepNext/>
        <w:spacing w:after="240"/>
        <w:jc w:val="both"/>
        <w:rPr>
          <w:rFonts w:asciiTheme="minorHAnsi" w:hAnsiTheme="minorHAnsi"/>
          <w:sz w:val="24"/>
          <w:szCs w:val="24"/>
        </w:rPr>
      </w:pPr>
      <w:r w:rsidRPr="00F314C1">
        <w:rPr>
          <w:rFonts w:asciiTheme="minorHAnsi" w:hAnsiTheme="minorHAnsi"/>
          <w:sz w:val="24"/>
          <w:szCs w:val="24"/>
        </w:rPr>
        <w:t>The primar</w:t>
      </w:r>
      <w:r w:rsidR="005C28DD" w:rsidRPr="00F314C1">
        <w:rPr>
          <w:rFonts w:asciiTheme="minorHAnsi" w:hAnsiTheme="minorHAnsi"/>
          <w:sz w:val="24"/>
          <w:szCs w:val="24"/>
        </w:rPr>
        <w:t>y objective</w:t>
      </w:r>
      <w:r w:rsidR="00FA3456" w:rsidRPr="00F314C1">
        <w:rPr>
          <w:rFonts w:asciiTheme="minorHAnsi" w:hAnsiTheme="minorHAnsi"/>
          <w:sz w:val="24"/>
          <w:szCs w:val="24"/>
        </w:rPr>
        <w:t xml:space="preserve"> of this study was </w:t>
      </w:r>
      <w:r w:rsidRPr="00F314C1">
        <w:rPr>
          <w:rFonts w:asciiTheme="minorHAnsi" w:hAnsiTheme="minorHAnsi"/>
          <w:sz w:val="24"/>
          <w:szCs w:val="24"/>
        </w:rPr>
        <w:t>to understand the role of diet in chronic diseases. As a result, the information presented in the report is focuse</w:t>
      </w:r>
      <w:r w:rsidR="00906881" w:rsidRPr="00F314C1">
        <w:rPr>
          <w:rFonts w:asciiTheme="minorHAnsi" w:hAnsiTheme="minorHAnsi"/>
          <w:sz w:val="24"/>
          <w:szCs w:val="24"/>
        </w:rPr>
        <w:t>d</w:t>
      </w:r>
      <w:r w:rsidRPr="00F314C1">
        <w:rPr>
          <w:rFonts w:asciiTheme="minorHAnsi" w:hAnsiTheme="minorHAnsi"/>
          <w:sz w:val="24"/>
          <w:szCs w:val="24"/>
        </w:rPr>
        <w:t xml:space="preserve"> on the nutrient intake from reported food sources and comparison of the study population to the general U.S. population. Limited information is provided on the quantity and frequency of fish and shellfish consumed, and </w:t>
      </w:r>
      <w:r w:rsidR="00EC5214" w:rsidRPr="00F314C1">
        <w:rPr>
          <w:rFonts w:asciiTheme="minorHAnsi" w:hAnsiTheme="minorHAnsi"/>
          <w:sz w:val="24"/>
          <w:szCs w:val="24"/>
        </w:rPr>
        <w:t>detail on fish or shellfish species is not provided.</w:t>
      </w:r>
      <w:r w:rsidR="00880FD5" w:rsidRPr="00F314C1">
        <w:rPr>
          <w:rFonts w:asciiTheme="minorHAnsi" w:hAnsiTheme="minorHAnsi"/>
          <w:sz w:val="24"/>
          <w:szCs w:val="24"/>
        </w:rPr>
        <w:t xml:space="preserve"> T</w:t>
      </w:r>
      <w:r w:rsidR="00EC5214" w:rsidRPr="00F314C1">
        <w:rPr>
          <w:rFonts w:asciiTheme="minorHAnsi" w:hAnsiTheme="minorHAnsi"/>
          <w:sz w:val="24"/>
          <w:szCs w:val="24"/>
        </w:rPr>
        <w:t>he data captured during th</w:t>
      </w:r>
      <w:r w:rsidR="00880FD5" w:rsidRPr="00F314C1">
        <w:rPr>
          <w:rFonts w:asciiTheme="minorHAnsi" w:hAnsiTheme="minorHAnsi"/>
          <w:sz w:val="24"/>
          <w:szCs w:val="24"/>
        </w:rPr>
        <w:t>e</w:t>
      </w:r>
      <w:r w:rsidR="00EC5214" w:rsidRPr="00F314C1">
        <w:rPr>
          <w:rFonts w:asciiTheme="minorHAnsi" w:hAnsiTheme="minorHAnsi"/>
          <w:sz w:val="24"/>
          <w:szCs w:val="24"/>
        </w:rPr>
        <w:t xml:space="preserve"> </w:t>
      </w:r>
      <w:r w:rsidR="00FA3456" w:rsidRPr="00F314C1">
        <w:rPr>
          <w:rFonts w:asciiTheme="minorHAnsi" w:hAnsiTheme="minorHAnsi"/>
          <w:sz w:val="24"/>
          <w:szCs w:val="24"/>
        </w:rPr>
        <w:t xml:space="preserve">study </w:t>
      </w:r>
      <w:r w:rsidR="00880FD5" w:rsidRPr="00F314C1">
        <w:rPr>
          <w:rFonts w:asciiTheme="minorHAnsi" w:hAnsiTheme="minorHAnsi"/>
          <w:sz w:val="24"/>
          <w:szCs w:val="24"/>
        </w:rPr>
        <w:t xml:space="preserve">may </w:t>
      </w:r>
      <w:r w:rsidR="00FA3456" w:rsidRPr="00F314C1">
        <w:rPr>
          <w:rFonts w:asciiTheme="minorHAnsi" w:hAnsiTheme="minorHAnsi"/>
          <w:sz w:val="24"/>
          <w:szCs w:val="24"/>
        </w:rPr>
        <w:t xml:space="preserve">be of great value </w:t>
      </w:r>
      <w:r w:rsidR="00880FD5" w:rsidRPr="00F314C1">
        <w:rPr>
          <w:rFonts w:asciiTheme="minorHAnsi" w:hAnsiTheme="minorHAnsi"/>
          <w:sz w:val="24"/>
          <w:szCs w:val="24"/>
        </w:rPr>
        <w:t xml:space="preserve">for use in </w:t>
      </w:r>
      <w:r w:rsidR="00EC5214" w:rsidRPr="00F314C1">
        <w:rPr>
          <w:rFonts w:asciiTheme="minorHAnsi" w:hAnsiTheme="minorHAnsi"/>
          <w:sz w:val="24"/>
          <w:szCs w:val="24"/>
        </w:rPr>
        <w:t xml:space="preserve">determining </w:t>
      </w:r>
      <w:r w:rsidR="002C6CE3" w:rsidRPr="00F314C1">
        <w:rPr>
          <w:rFonts w:asciiTheme="minorHAnsi" w:hAnsiTheme="minorHAnsi"/>
          <w:sz w:val="24"/>
          <w:szCs w:val="24"/>
        </w:rPr>
        <w:t xml:space="preserve">FCRs as the survey encompasses </w:t>
      </w:r>
      <w:r w:rsidR="00EC5214" w:rsidRPr="00F314C1">
        <w:rPr>
          <w:rFonts w:asciiTheme="minorHAnsi" w:hAnsiTheme="minorHAnsi"/>
          <w:sz w:val="24"/>
          <w:szCs w:val="24"/>
        </w:rPr>
        <w:t>multiple communities with different ethnic and socioeconomic characteristics a</w:t>
      </w:r>
      <w:r w:rsidR="00FA3456" w:rsidRPr="00F314C1">
        <w:rPr>
          <w:rFonts w:asciiTheme="minorHAnsi" w:hAnsiTheme="minorHAnsi"/>
          <w:sz w:val="24"/>
          <w:szCs w:val="24"/>
        </w:rPr>
        <w:t xml:space="preserve">nd utilizes a randomly selected </w:t>
      </w:r>
      <w:r w:rsidR="00EC5214" w:rsidRPr="00F314C1">
        <w:rPr>
          <w:rFonts w:asciiTheme="minorHAnsi" w:hAnsiTheme="minorHAnsi"/>
          <w:sz w:val="24"/>
          <w:szCs w:val="24"/>
        </w:rPr>
        <w:t xml:space="preserve">sample. The data </w:t>
      </w:r>
      <w:r w:rsidR="00880FD5" w:rsidRPr="00F314C1">
        <w:rPr>
          <w:rFonts w:asciiTheme="minorHAnsi" w:hAnsiTheme="minorHAnsi"/>
          <w:sz w:val="24"/>
          <w:szCs w:val="24"/>
        </w:rPr>
        <w:t xml:space="preserve">may </w:t>
      </w:r>
      <w:r w:rsidR="00EC5214" w:rsidRPr="00F314C1">
        <w:rPr>
          <w:rFonts w:asciiTheme="minorHAnsi" w:hAnsiTheme="minorHAnsi"/>
          <w:sz w:val="24"/>
          <w:szCs w:val="24"/>
        </w:rPr>
        <w:t>be a particularly important tool in identifying both differences and similarities in fish and shellfish consumption across Alaskan communities. The age of the data would have to be considered, as change</w:t>
      </w:r>
      <w:r w:rsidR="00880FD5" w:rsidRPr="00F314C1">
        <w:rPr>
          <w:rFonts w:asciiTheme="minorHAnsi" w:hAnsiTheme="minorHAnsi"/>
          <w:sz w:val="24"/>
          <w:szCs w:val="24"/>
        </w:rPr>
        <w:t>s</w:t>
      </w:r>
      <w:r w:rsidR="00EC5214" w:rsidRPr="00F314C1">
        <w:rPr>
          <w:rFonts w:asciiTheme="minorHAnsi" w:hAnsiTheme="minorHAnsi"/>
          <w:sz w:val="24"/>
          <w:szCs w:val="24"/>
        </w:rPr>
        <w:t xml:space="preserve"> </w:t>
      </w:r>
      <w:r w:rsidR="00880FD5" w:rsidRPr="00F314C1">
        <w:rPr>
          <w:rFonts w:asciiTheme="minorHAnsi" w:hAnsiTheme="minorHAnsi"/>
          <w:sz w:val="24"/>
          <w:szCs w:val="24"/>
        </w:rPr>
        <w:t>in</w:t>
      </w:r>
      <w:r w:rsidR="00EC5214" w:rsidRPr="00F314C1">
        <w:rPr>
          <w:rFonts w:asciiTheme="minorHAnsi" w:hAnsiTheme="minorHAnsi"/>
          <w:sz w:val="24"/>
          <w:szCs w:val="24"/>
        </w:rPr>
        <w:t xml:space="preserve"> dietary habits in these Alaskan communities </w:t>
      </w:r>
      <w:r w:rsidR="00880FD5" w:rsidRPr="00F314C1">
        <w:rPr>
          <w:rFonts w:asciiTheme="minorHAnsi" w:hAnsiTheme="minorHAnsi"/>
          <w:sz w:val="24"/>
          <w:szCs w:val="24"/>
        </w:rPr>
        <w:t xml:space="preserve">may </w:t>
      </w:r>
      <w:r w:rsidR="00EC5214" w:rsidRPr="00F314C1">
        <w:rPr>
          <w:rFonts w:asciiTheme="minorHAnsi" w:hAnsiTheme="minorHAnsi"/>
          <w:sz w:val="24"/>
          <w:szCs w:val="24"/>
        </w:rPr>
        <w:t xml:space="preserve">have occurred </w:t>
      </w:r>
      <w:r w:rsidR="00880FD5" w:rsidRPr="00F314C1">
        <w:rPr>
          <w:rFonts w:asciiTheme="minorHAnsi" w:hAnsiTheme="minorHAnsi"/>
          <w:sz w:val="24"/>
          <w:szCs w:val="24"/>
        </w:rPr>
        <w:t>since the time of the study</w:t>
      </w:r>
      <w:r w:rsidR="00EC5214" w:rsidRPr="00F314C1">
        <w:rPr>
          <w:rFonts w:asciiTheme="minorHAnsi" w:hAnsiTheme="minorHAnsi"/>
          <w:sz w:val="24"/>
          <w:szCs w:val="24"/>
        </w:rPr>
        <w:t>.</w:t>
      </w:r>
    </w:p>
    <w:p w14:paraId="6498801A" w14:textId="77777777" w:rsidR="00986F80" w:rsidRPr="00564F7E" w:rsidRDefault="00A81083" w:rsidP="00C379D4">
      <w:pPr>
        <w:pStyle w:val="Heading2"/>
        <w:spacing w:before="0" w:after="60"/>
        <w:jc w:val="both"/>
        <w:rPr>
          <w:szCs w:val="24"/>
        </w:rPr>
      </w:pPr>
      <w:bookmarkStart w:id="46" w:name="_Toc390121662"/>
      <w:r w:rsidRPr="00564F7E">
        <w:rPr>
          <w:szCs w:val="24"/>
        </w:rPr>
        <w:t>Seafood as Local Food: Food Security and Locally Caught Seafood on Alaska’s Kenai Peninsula</w:t>
      </w:r>
      <w:bookmarkEnd w:id="46"/>
    </w:p>
    <w:p w14:paraId="6498801D" w14:textId="3C6C3C33" w:rsidR="00324194" w:rsidRPr="00F314C1" w:rsidRDefault="00A81083" w:rsidP="00C379D4">
      <w:pPr>
        <w:pStyle w:val="Heading3"/>
        <w:spacing w:before="0" w:after="60"/>
        <w:jc w:val="both"/>
        <w:rPr>
          <w:sz w:val="24"/>
          <w:szCs w:val="24"/>
        </w:rPr>
      </w:pPr>
      <w:bookmarkStart w:id="47" w:name="_Toc390121663"/>
      <w:r w:rsidRPr="00F314C1">
        <w:rPr>
          <w:sz w:val="24"/>
          <w:szCs w:val="24"/>
        </w:rPr>
        <w:t>Philip A. Loring, S. Craig Gerlach &amp; Hannah L. Harrison</w:t>
      </w:r>
      <w:bookmarkEnd w:id="47"/>
      <w:r w:rsidR="00880FD5" w:rsidRPr="00F314C1">
        <w:rPr>
          <w:sz w:val="24"/>
          <w:szCs w:val="24"/>
        </w:rPr>
        <w:t xml:space="preserve">; </w:t>
      </w:r>
      <w:bookmarkStart w:id="48" w:name="_Toc390121664"/>
      <w:r w:rsidR="00324194" w:rsidRPr="00F314C1">
        <w:rPr>
          <w:sz w:val="24"/>
          <w:szCs w:val="24"/>
        </w:rPr>
        <w:t>Journal of Agriculture, Food Systems and Community Development</w:t>
      </w:r>
      <w:bookmarkEnd w:id="48"/>
      <w:r w:rsidR="00284FB9" w:rsidRPr="00F314C1">
        <w:rPr>
          <w:sz w:val="24"/>
          <w:szCs w:val="24"/>
        </w:rPr>
        <w:t xml:space="preserve">, </w:t>
      </w:r>
      <w:bookmarkStart w:id="49" w:name="_Toc390121665"/>
      <w:r w:rsidR="00324194" w:rsidRPr="00F314C1">
        <w:rPr>
          <w:sz w:val="24"/>
          <w:szCs w:val="24"/>
        </w:rPr>
        <w:t>2013</w:t>
      </w:r>
      <w:bookmarkEnd w:id="49"/>
    </w:p>
    <w:p w14:paraId="6498801E" w14:textId="77777777" w:rsidR="00324194" w:rsidRPr="00F314C1" w:rsidRDefault="00324194" w:rsidP="00C379D4">
      <w:pPr>
        <w:pStyle w:val="Heading4"/>
        <w:jc w:val="both"/>
        <w:rPr>
          <w:sz w:val="24"/>
          <w:szCs w:val="24"/>
        </w:rPr>
      </w:pPr>
      <w:r w:rsidRPr="00F314C1">
        <w:rPr>
          <w:sz w:val="24"/>
          <w:szCs w:val="24"/>
        </w:rPr>
        <w:t xml:space="preserve">General Information </w:t>
      </w:r>
    </w:p>
    <w:p w14:paraId="6498801F" w14:textId="6553B67A" w:rsidR="00324194" w:rsidRPr="00F314C1" w:rsidRDefault="00324194" w:rsidP="00C379D4">
      <w:pPr>
        <w:jc w:val="both"/>
        <w:rPr>
          <w:rFonts w:asciiTheme="minorHAnsi" w:hAnsiTheme="minorHAnsi"/>
          <w:sz w:val="24"/>
          <w:szCs w:val="24"/>
        </w:rPr>
      </w:pPr>
      <w:r w:rsidRPr="00F314C1">
        <w:rPr>
          <w:rFonts w:asciiTheme="minorHAnsi" w:hAnsiTheme="minorHAnsi"/>
          <w:sz w:val="24"/>
          <w:szCs w:val="24"/>
        </w:rPr>
        <w:lastRenderedPageBreak/>
        <w:t xml:space="preserve">Researchers from the University of Alaska conducted a study, which took the form of </w:t>
      </w:r>
      <w:r w:rsidR="005C28DD" w:rsidRPr="00F314C1">
        <w:rPr>
          <w:rFonts w:asciiTheme="minorHAnsi" w:hAnsiTheme="minorHAnsi"/>
          <w:sz w:val="24"/>
          <w:szCs w:val="24"/>
        </w:rPr>
        <w:t xml:space="preserve">community focus groups and a </w:t>
      </w:r>
      <w:r w:rsidRPr="00F314C1">
        <w:rPr>
          <w:rFonts w:asciiTheme="minorHAnsi" w:hAnsiTheme="minorHAnsi"/>
          <w:sz w:val="24"/>
          <w:szCs w:val="24"/>
        </w:rPr>
        <w:t>survey distributed</w:t>
      </w:r>
      <w:r w:rsidR="005C28DD" w:rsidRPr="00F314C1">
        <w:rPr>
          <w:rFonts w:asciiTheme="minorHAnsi" w:hAnsiTheme="minorHAnsi"/>
          <w:sz w:val="24"/>
          <w:szCs w:val="24"/>
        </w:rPr>
        <w:t xml:space="preserve"> by mail</w:t>
      </w:r>
      <w:r w:rsidRPr="00F314C1">
        <w:rPr>
          <w:rFonts w:asciiTheme="minorHAnsi" w:hAnsiTheme="minorHAnsi"/>
          <w:sz w:val="24"/>
          <w:szCs w:val="24"/>
        </w:rPr>
        <w:t xml:space="preserve"> to residents </w:t>
      </w:r>
      <w:r w:rsidR="002C6CE3" w:rsidRPr="00F314C1">
        <w:rPr>
          <w:rFonts w:asciiTheme="minorHAnsi" w:hAnsiTheme="minorHAnsi"/>
          <w:sz w:val="24"/>
          <w:szCs w:val="24"/>
        </w:rPr>
        <w:t xml:space="preserve">of the Kenai Peninsula region in </w:t>
      </w:r>
      <w:r w:rsidR="00585275" w:rsidRPr="00F314C1">
        <w:rPr>
          <w:rFonts w:asciiTheme="minorHAnsi" w:hAnsiTheme="minorHAnsi"/>
          <w:sz w:val="24"/>
          <w:szCs w:val="24"/>
        </w:rPr>
        <w:t xml:space="preserve">Southcentral </w:t>
      </w:r>
      <w:r w:rsidRPr="00F314C1">
        <w:rPr>
          <w:rFonts w:asciiTheme="minorHAnsi" w:hAnsiTheme="minorHAnsi"/>
          <w:sz w:val="24"/>
          <w:szCs w:val="24"/>
        </w:rPr>
        <w:t>Alaska.</w:t>
      </w:r>
      <w:r w:rsidR="002320CD" w:rsidRPr="00F314C1">
        <w:rPr>
          <w:rFonts w:asciiTheme="minorHAnsi" w:hAnsiTheme="minorHAnsi"/>
          <w:sz w:val="24"/>
          <w:szCs w:val="24"/>
        </w:rPr>
        <w:t xml:space="preserve"> The investigation was aimed at exploring the conditions under which access to locally caught seafood contributes to household food security in the Kenai Peninsula Region of Alaska.</w:t>
      </w:r>
    </w:p>
    <w:p w14:paraId="64988020" w14:textId="77777777" w:rsidR="00324194" w:rsidRPr="00F314C1" w:rsidRDefault="00324194" w:rsidP="00C379D4">
      <w:pPr>
        <w:pStyle w:val="Heading4"/>
        <w:keepNext/>
        <w:jc w:val="both"/>
        <w:rPr>
          <w:sz w:val="24"/>
          <w:szCs w:val="24"/>
        </w:rPr>
      </w:pPr>
      <w:r w:rsidRPr="00F314C1">
        <w:rPr>
          <w:sz w:val="24"/>
          <w:szCs w:val="24"/>
        </w:rPr>
        <w:t>Study Population</w:t>
      </w:r>
    </w:p>
    <w:p w14:paraId="64988021" w14:textId="77777777" w:rsidR="002320CD" w:rsidRPr="00F314C1" w:rsidRDefault="002320CD" w:rsidP="00C379D4">
      <w:pPr>
        <w:keepNext/>
        <w:jc w:val="both"/>
        <w:rPr>
          <w:rFonts w:asciiTheme="minorHAnsi" w:hAnsiTheme="minorHAnsi"/>
          <w:sz w:val="24"/>
          <w:szCs w:val="24"/>
        </w:rPr>
      </w:pPr>
      <w:r w:rsidRPr="00F314C1">
        <w:rPr>
          <w:rFonts w:asciiTheme="minorHAnsi" w:hAnsiTheme="minorHAnsi"/>
          <w:sz w:val="24"/>
          <w:szCs w:val="24"/>
        </w:rPr>
        <w:t>A sample of 1,500 households was randomly selected from a list of all 24,500 residential addresses on the Kenai Peninsula.</w:t>
      </w:r>
    </w:p>
    <w:p w14:paraId="64988022" w14:textId="77777777" w:rsidR="00324194" w:rsidRPr="00F314C1" w:rsidRDefault="00324194" w:rsidP="00C379D4">
      <w:pPr>
        <w:pStyle w:val="Heading4"/>
        <w:jc w:val="both"/>
        <w:rPr>
          <w:sz w:val="24"/>
          <w:szCs w:val="24"/>
        </w:rPr>
      </w:pPr>
      <w:r w:rsidRPr="00F314C1">
        <w:rPr>
          <w:sz w:val="24"/>
          <w:szCs w:val="24"/>
        </w:rPr>
        <w:t>Data Collection Methods</w:t>
      </w:r>
    </w:p>
    <w:p w14:paraId="64988023" w14:textId="7977CDD3" w:rsidR="002320CD" w:rsidRPr="00F314C1" w:rsidRDefault="002320CD" w:rsidP="00C379D4">
      <w:pPr>
        <w:jc w:val="both"/>
        <w:rPr>
          <w:rFonts w:asciiTheme="minorHAnsi" w:hAnsiTheme="minorHAnsi"/>
          <w:sz w:val="24"/>
          <w:szCs w:val="24"/>
        </w:rPr>
      </w:pPr>
      <w:r w:rsidRPr="00F314C1">
        <w:rPr>
          <w:rFonts w:asciiTheme="minorHAnsi" w:hAnsiTheme="minorHAnsi"/>
          <w:sz w:val="24"/>
          <w:szCs w:val="24"/>
        </w:rPr>
        <w:t xml:space="preserve">The survey was distributed </w:t>
      </w:r>
      <w:r w:rsidR="002C08FE" w:rsidRPr="00F314C1">
        <w:rPr>
          <w:rFonts w:asciiTheme="minorHAnsi" w:hAnsiTheme="minorHAnsi"/>
          <w:sz w:val="24"/>
          <w:szCs w:val="24"/>
        </w:rPr>
        <w:t xml:space="preserve">to the sampled households </w:t>
      </w:r>
      <w:r w:rsidR="005E35A6" w:rsidRPr="00F314C1">
        <w:rPr>
          <w:rFonts w:asciiTheme="minorHAnsi" w:hAnsiTheme="minorHAnsi"/>
          <w:sz w:val="24"/>
          <w:szCs w:val="24"/>
        </w:rPr>
        <w:t xml:space="preserve">via the U.S. Postal Service. </w:t>
      </w:r>
      <w:r w:rsidRPr="00F314C1">
        <w:rPr>
          <w:rFonts w:asciiTheme="minorHAnsi" w:hAnsiTheme="minorHAnsi"/>
          <w:sz w:val="24"/>
          <w:szCs w:val="24"/>
        </w:rPr>
        <w:t>Surveys were distributed following a modified version of the Tailored Design Method. To improve r</w:t>
      </w:r>
      <w:r w:rsidR="005E35A6" w:rsidRPr="00F314C1">
        <w:rPr>
          <w:rFonts w:asciiTheme="minorHAnsi" w:hAnsiTheme="minorHAnsi"/>
          <w:sz w:val="24"/>
          <w:szCs w:val="24"/>
        </w:rPr>
        <w:t>esponse rates, researchers</w:t>
      </w:r>
      <w:r w:rsidRPr="00F314C1">
        <w:rPr>
          <w:rFonts w:asciiTheme="minorHAnsi" w:hAnsiTheme="minorHAnsi"/>
          <w:sz w:val="24"/>
          <w:szCs w:val="24"/>
        </w:rPr>
        <w:t xml:space="preserve"> sent postcards notifying recipients that their address had been randomly</w:t>
      </w:r>
      <w:r w:rsidR="005E35A6" w:rsidRPr="00F314C1">
        <w:rPr>
          <w:rFonts w:asciiTheme="minorHAnsi" w:hAnsiTheme="minorHAnsi"/>
          <w:sz w:val="24"/>
          <w:szCs w:val="24"/>
        </w:rPr>
        <w:t xml:space="preserve"> selected and that they should expect to receive a survey. To raise awareness for the project</w:t>
      </w:r>
      <w:r w:rsidR="002532B6" w:rsidRPr="00F314C1">
        <w:rPr>
          <w:rFonts w:asciiTheme="minorHAnsi" w:hAnsiTheme="minorHAnsi"/>
          <w:sz w:val="24"/>
          <w:szCs w:val="24"/>
        </w:rPr>
        <w:t>,</w:t>
      </w:r>
      <w:r w:rsidR="005E35A6" w:rsidRPr="00F314C1">
        <w:rPr>
          <w:rFonts w:asciiTheme="minorHAnsi" w:hAnsiTheme="minorHAnsi"/>
          <w:sz w:val="24"/>
          <w:szCs w:val="24"/>
        </w:rPr>
        <w:t xml:space="preserve"> </w:t>
      </w:r>
      <w:r w:rsidR="002C08FE" w:rsidRPr="00F314C1">
        <w:rPr>
          <w:rFonts w:asciiTheme="minorHAnsi" w:hAnsiTheme="minorHAnsi"/>
          <w:sz w:val="24"/>
          <w:szCs w:val="24"/>
        </w:rPr>
        <w:t xml:space="preserve">the research team participated in </w:t>
      </w:r>
      <w:r w:rsidR="005E35A6" w:rsidRPr="00F314C1">
        <w:rPr>
          <w:rFonts w:asciiTheme="minorHAnsi" w:hAnsiTheme="minorHAnsi"/>
          <w:sz w:val="24"/>
          <w:szCs w:val="24"/>
        </w:rPr>
        <w:t>interviews on Kenai Peninsula public radio stations.</w:t>
      </w:r>
      <w:r w:rsidR="002532B6" w:rsidRPr="00F314C1">
        <w:rPr>
          <w:rFonts w:asciiTheme="minorHAnsi" w:hAnsiTheme="minorHAnsi"/>
          <w:sz w:val="24"/>
          <w:szCs w:val="24"/>
        </w:rPr>
        <w:t xml:space="preserve"> A total of 490 survey responses were received, allowing the study to achieve a 95% confidence interval that the sampled population is representative </w:t>
      </w:r>
      <w:r w:rsidR="00090992" w:rsidRPr="00F314C1">
        <w:rPr>
          <w:rFonts w:asciiTheme="minorHAnsi" w:hAnsiTheme="minorHAnsi"/>
          <w:sz w:val="24"/>
          <w:szCs w:val="24"/>
        </w:rPr>
        <w:t>of the population of the Kenai P</w:t>
      </w:r>
      <w:r w:rsidR="002532B6" w:rsidRPr="00F314C1">
        <w:rPr>
          <w:rFonts w:asciiTheme="minorHAnsi" w:hAnsiTheme="minorHAnsi"/>
          <w:sz w:val="24"/>
          <w:szCs w:val="24"/>
        </w:rPr>
        <w:t>eninsula.</w:t>
      </w:r>
    </w:p>
    <w:p w14:paraId="64988024" w14:textId="77777777" w:rsidR="00324194" w:rsidRPr="00F314C1" w:rsidRDefault="00324194" w:rsidP="00C379D4">
      <w:pPr>
        <w:pStyle w:val="Heading4"/>
        <w:jc w:val="both"/>
        <w:rPr>
          <w:sz w:val="24"/>
          <w:szCs w:val="24"/>
        </w:rPr>
      </w:pPr>
      <w:r w:rsidRPr="00F314C1">
        <w:rPr>
          <w:sz w:val="24"/>
          <w:szCs w:val="24"/>
        </w:rPr>
        <w:t xml:space="preserve">Description of Data </w:t>
      </w:r>
    </w:p>
    <w:p w14:paraId="64988025" w14:textId="742BCEC2" w:rsidR="008B2658" w:rsidRPr="00F314C1" w:rsidRDefault="008B2658" w:rsidP="00C379D4">
      <w:pPr>
        <w:jc w:val="both"/>
        <w:rPr>
          <w:rFonts w:asciiTheme="minorHAnsi" w:hAnsiTheme="minorHAnsi"/>
          <w:sz w:val="24"/>
          <w:szCs w:val="24"/>
        </w:rPr>
      </w:pPr>
      <w:r w:rsidRPr="00F314C1">
        <w:rPr>
          <w:rFonts w:asciiTheme="minorHAnsi" w:hAnsiTheme="minorHAnsi"/>
          <w:sz w:val="24"/>
          <w:szCs w:val="24"/>
        </w:rPr>
        <w:t xml:space="preserve">Respondents were asked to report if anyone in the household fished, and if so, to specify whether this includes fishing commercially, fishing for sport, fishing as a guide or charter, and/or fishing for personal use or subsistence. Next, respondents were asked whether they consumed locally caught fish or other seafood. If respondents indicated </w:t>
      </w:r>
      <w:r w:rsidR="002C08FE" w:rsidRPr="00F314C1">
        <w:rPr>
          <w:rFonts w:asciiTheme="minorHAnsi" w:hAnsiTheme="minorHAnsi"/>
          <w:sz w:val="24"/>
          <w:szCs w:val="24"/>
        </w:rPr>
        <w:t xml:space="preserve">that </w:t>
      </w:r>
      <w:r w:rsidRPr="00F314C1">
        <w:rPr>
          <w:rFonts w:asciiTheme="minorHAnsi" w:hAnsiTheme="minorHAnsi"/>
          <w:sz w:val="24"/>
          <w:szCs w:val="24"/>
        </w:rPr>
        <w:t>they consumed locally harvested fish and/or seafood, they were asked several additional questions regarding how and where seafood was obtained, with the intention of determining whether respondents caught the fish themselves, purchased it</w:t>
      </w:r>
      <w:r w:rsidR="002C08FE" w:rsidRPr="00F314C1">
        <w:rPr>
          <w:rFonts w:asciiTheme="minorHAnsi" w:hAnsiTheme="minorHAnsi"/>
          <w:sz w:val="24"/>
          <w:szCs w:val="24"/>
        </w:rPr>
        <w:t>,</w:t>
      </w:r>
      <w:r w:rsidRPr="00F314C1">
        <w:rPr>
          <w:rFonts w:asciiTheme="minorHAnsi" w:hAnsiTheme="minorHAnsi"/>
          <w:sz w:val="24"/>
          <w:szCs w:val="24"/>
        </w:rPr>
        <w:t xml:space="preserve"> or obtained it through barter, trade</w:t>
      </w:r>
      <w:r w:rsidR="002C08FE" w:rsidRPr="00F314C1">
        <w:rPr>
          <w:rFonts w:asciiTheme="minorHAnsi" w:hAnsiTheme="minorHAnsi"/>
          <w:sz w:val="24"/>
          <w:szCs w:val="24"/>
        </w:rPr>
        <w:t>,</w:t>
      </w:r>
      <w:r w:rsidRPr="00F314C1">
        <w:rPr>
          <w:rFonts w:asciiTheme="minorHAnsi" w:hAnsiTheme="minorHAnsi"/>
          <w:sz w:val="24"/>
          <w:szCs w:val="24"/>
        </w:rPr>
        <w:t xml:space="preserve"> or as a gift. The survey also asked respondents to report seafood consumption rates during the fishing season (defined as late May through September) and outside the fishing season (October through </w:t>
      </w:r>
      <w:r w:rsidR="00CC4150" w:rsidRPr="00F314C1">
        <w:rPr>
          <w:rFonts w:asciiTheme="minorHAnsi" w:hAnsiTheme="minorHAnsi"/>
          <w:sz w:val="24"/>
          <w:szCs w:val="24"/>
        </w:rPr>
        <w:t xml:space="preserve">early </w:t>
      </w:r>
      <w:r w:rsidRPr="00F314C1">
        <w:rPr>
          <w:rFonts w:asciiTheme="minorHAnsi" w:hAnsiTheme="minorHAnsi"/>
          <w:sz w:val="24"/>
          <w:szCs w:val="24"/>
        </w:rPr>
        <w:t>May). Options for response included: frequently (almost every day)</w:t>
      </w:r>
      <w:r w:rsidR="005356AF" w:rsidRPr="00F314C1">
        <w:rPr>
          <w:rFonts w:asciiTheme="minorHAnsi" w:hAnsiTheme="minorHAnsi"/>
          <w:sz w:val="24"/>
          <w:szCs w:val="24"/>
        </w:rPr>
        <w:t>;</w:t>
      </w:r>
      <w:r w:rsidRPr="00F314C1">
        <w:rPr>
          <w:rFonts w:asciiTheme="minorHAnsi" w:hAnsiTheme="minorHAnsi"/>
          <w:sz w:val="24"/>
          <w:szCs w:val="24"/>
        </w:rPr>
        <w:t xml:space="preserve"> sometimes (2–5 times per week)</w:t>
      </w:r>
      <w:r w:rsidR="005356AF" w:rsidRPr="00F314C1">
        <w:rPr>
          <w:rFonts w:asciiTheme="minorHAnsi" w:hAnsiTheme="minorHAnsi"/>
          <w:sz w:val="24"/>
          <w:szCs w:val="24"/>
        </w:rPr>
        <w:t>;</w:t>
      </w:r>
      <w:r w:rsidRPr="00F314C1">
        <w:rPr>
          <w:rFonts w:asciiTheme="minorHAnsi" w:hAnsiTheme="minorHAnsi"/>
          <w:sz w:val="24"/>
          <w:szCs w:val="24"/>
        </w:rPr>
        <w:t xml:space="preserve"> rarely (once or fewer times per week)</w:t>
      </w:r>
      <w:r w:rsidR="005356AF" w:rsidRPr="00F314C1">
        <w:rPr>
          <w:rFonts w:asciiTheme="minorHAnsi" w:hAnsiTheme="minorHAnsi"/>
          <w:sz w:val="24"/>
          <w:szCs w:val="24"/>
        </w:rPr>
        <w:t>;</w:t>
      </w:r>
      <w:r w:rsidRPr="00F314C1">
        <w:rPr>
          <w:rFonts w:asciiTheme="minorHAnsi" w:hAnsiTheme="minorHAnsi"/>
          <w:sz w:val="24"/>
          <w:szCs w:val="24"/>
        </w:rPr>
        <w:t xml:space="preserve"> and never. The survey also requested information on how respondents disposed of fish waste (e.g., smoke or can it, feed it to dogs, give it away, throw it away, etc.). </w:t>
      </w:r>
    </w:p>
    <w:p w14:paraId="64988026" w14:textId="77777777" w:rsidR="00324194" w:rsidRPr="00F314C1" w:rsidRDefault="00324194" w:rsidP="00C379D4">
      <w:pPr>
        <w:pStyle w:val="Heading4"/>
        <w:jc w:val="both"/>
        <w:rPr>
          <w:sz w:val="24"/>
          <w:szCs w:val="24"/>
        </w:rPr>
      </w:pPr>
      <w:r w:rsidRPr="00F314C1">
        <w:rPr>
          <w:sz w:val="24"/>
          <w:szCs w:val="24"/>
        </w:rPr>
        <w:t>QA/QC Procedures</w:t>
      </w:r>
    </w:p>
    <w:p w14:paraId="64988027" w14:textId="796AFE7F" w:rsidR="00E25408" w:rsidRPr="00F314C1" w:rsidRDefault="00906881" w:rsidP="00C379D4">
      <w:pPr>
        <w:jc w:val="both"/>
        <w:rPr>
          <w:rFonts w:asciiTheme="minorHAnsi" w:hAnsiTheme="minorHAnsi"/>
          <w:sz w:val="24"/>
          <w:szCs w:val="24"/>
        </w:rPr>
      </w:pPr>
      <w:r w:rsidRPr="00F314C1">
        <w:rPr>
          <w:rFonts w:asciiTheme="minorHAnsi" w:hAnsiTheme="minorHAnsi"/>
          <w:sz w:val="24"/>
          <w:szCs w:val="24"/>
        </w:rPr>
        <w:t>No i</w:t>
      </w:r>
      <w:r w:rsidR="00E25408" w:rsidRPr="00F314C1">
        <w:rPr>
          <w:rFonts w:asciiTheme="minorHAnsi" w:hAnsiTheme="minorHAnsi"/>
          <w:sz w:val="24"/>
          <w:szCs w:val="24"/>
        </w:rPr>
        <w:t>nformation on QA/QC procedures for the data collection or analysis components of th</w:t>
      </w:r>
      <w:r w:rsidR="005356AF" w:rsidRPr="00F314C1">
        <w:rPr>
          <w:rFonts w:asciiTheme="minorHAnsi" w:hAnsiTheme="minorHAnsi"/>
          <w:sz w:val="24"/>
          <w:szCs w:val="24"/>
        </w:rPr>
        <w:t xml:space="preserve">e </w:t>
      </w:r>
      <w:r w:rsidR="00E25408" w:rsidRPr="00F314C1">
        <w:rPr>
          <w:rFonts w:asciiTheme="minorHAnsi" w:hAnsiTheme="minorHAnsi"/>
          <w:sz w:val="24"/>
          <w:szCs w:val="24"/>
        </w:rPr>
        <w:t>research</w:t>
      </w:r>
      <w:r w:rsidR="005356AF" w:rsidRPr="00F314C1">
        <w:rPr>
          <w:rFonts w:asciiTheme="minorHAnsi" w:hAnsiTheme="minorHAnsi"/>
          <w:sz w:val="24"/>
          <w:szCs w:val="24"/>
        </w:rPr>
        <w:t xml:space="preserve"> is reported</w:t>
      </w:r>
      <w:r w:rsidR="00E25408" w:rsidRPr="00F314C1">
        <w:rPr>
          <w:rFonts w:asciiTheme="minorHAnsi" w:hAnsiTheme="minorHAnsi"/>
          <w:sz w:val="24"/>
          <w:szCs w:val="24"/>
        </w:rPr>
        <w:t xml:space="preserve">. </w:t>
      </w:r>
    </w:p>
    <w:p w14:paraId="64988028" w14:textId="77777777" w:rsidR="00324194" w:rsidRPr="00F314C1" w:rsidRDefault="00324194" w:rsidP="00C379D4">
      <w:pPr>
        <w:pStyle w:val="Heading4"/>
        <w:jc w:val="both"/>
        <w:rPr>
          <w:sz w:val="24"/>
          <w:szCs w:val="24"/>
        </w:rPr>
      </w:pPr>
      <w:r w:rsidRPr="00F314C1">
        <w:rPr>
          <w:sz w:val="24"/>
          <w:szCs w:val="24"/>
        </w:rPr>
        <w:t xml:space="preserve">Findings on Fish Consumption </w:t>
      </w:r>
    </w:p>
    <w:p w14:paraId="64988029" w14:textId="18B24114" w:rsidR="002532B6" w:rsidRPr="00F314C1" w:rsidRDefault="002532B6" w:rsidP="00C379D4">
      <w:pPr>
        <w:jc w:val="both"/>
        <w:rPr>
          <w:rFonts w:asciiTheme="minorHAnsi" w:hAnsiTheme="minorHAnsi"/>
          <w:sz w:val="24"/>
          <w:szCs w:val="24"/>
        </w:rPr>
      </w:pPr>
      <w:r w:rsidRPr="00F314C1">
        <w:rPr>
          <w:rFonts w:asciiTheme="minorHAnsi" w:hAnsiTheme="minorHAnsi"/>
          <w:sz w:val="24"/>
          <w:szCs w:val="24"/>
        </w:rPr>
        <w:lastRenderedPageBreak/>
        <w:t>Nearly 95% of respondents report</w:t>
      </w:r>
      <w:r w:rsidR="00EB5433" w:rsidRPr="00F314C1">
        <w:rPr>
          <w:rFonts w:asciiTheme="minorHAnsi" w:hAnsiTheme="minorHAnsi"/>
          <w:sz w:val="24"/>
          <w:szCs w:val="24"/>
        </w:rPr>
        <w:t>ed</w:t>
      </w:r>
      <w:r w:rsidRPr="00F314C1">
        <w:rPr>
          <w:rFonts w:asciiTheme="minorHAnsi" w:hAnsiTheme="minorHAnsi"/>
          <w:sz w:val="24"/>
          <w:szCs w:val="24"/>
        </w:rPr>
        <w:t xml:space="preserve"> at least some access to local seafood, </w:t>
      </w:r>
      <w:r w:rsidR="00EB5433" w:rsidRPr="00F314C1">
        <w:rPr>
          <w:rFonts w:asciiTheme="minorHAnsi" w:hAnsiTheme="minorHAnsi"/>
          <w:sz w:val="24"/>
          <w:szCs w:val="24"/>
        </w:rPr>
        <w:t xml:space="preserve">with </w:t>
      </w:r>
      <w:r w:rsidRPr="00F314C1">
        <w:rPr>
          <w:rFonts w:asciiTheme="minorHAnsi" w:hAnsiTheme="minorHAnsi"/>
          <w:sz w:val="24"/>
          <w:szCs w:val="24"/>
        </w:rPr>
        <w:t xml:space="preserve">80% of </w:t>
      </w:r>
      <w:r w:rsidR="005356AF" w:rsidRPr="00F314C1">
        <w:rPr>
          <w:rFonts w:asciiTheme="minorHAnsi" w:hAnsiTheme="minorHAnsi"/>
          <w:sz w:val="24"/>
          <w:szCs w:val="24"/>
        </w:rPr>
        <w:t xml:space="preserve">respondents </w:t>
      </w:r>
      <w:r w:rsidR="00EB5433" w:rsidRPr="00F314C1">
        <w:rPr>
          <w:rFonts w:asciiTheme="minorHAnsi" w:hAnsiTheme="minorHAnsi"/>
          <w:sz w:val="24"/>
          <w:szCs w:val="24"/>
        </w:rPr>
        <w:t>reporting</w:t>
      </w:r>
      <w:r w:rsidRPr="00F314C1">
        <w:rPr>
          <w:rFonts w:asciiTheme="minorHAnsi" w:hAnsiTheme="minorHAnsi"/>
          <w:sz w:val="24"/>
          <w:szCs w:val="24"/>
        </w:rPr>
        <w:t xml:space="preserve"> </w:t>
      </w:r>
      <w:r w:rsidR="005356AF" w:rsidRPr="00F314C1">
        <w:rPr>
          <w:rFonts w:asciiTheme="minorHAnsi" w:hAnsiTheme="minorHAnsi"/>
          <w:sz w:val="24"/>
          <w:szCs w:val="24"/>
        </w:rPr>
        <w:t xml:space="preserve">that </w:t>
      </w:r>
      <w:r w:rsidRPr="00F314C1">
        <w:rPr>
          <w:rFonts w:asciiTheme="minorHAnsi" w:hAnsiTheme="minorHAnsi"/>
          <w:sz w:val="24"/>
          <w:szCs w:val="24"/>
        </w:rPr>
        <w:t xml:space="preserve">someone in their household </w:t>
      </w:r>
      <w:r w:rsidR="00EB5433" w:rsidRPr="00F314C1">
        <w:rPr>
          <w:rFonts w:asciiTheme="minorHAnsi" w:hAnsiTheme="minorHAnsi"/>
          <w:sz w:val="24"/>
          <w:szCs w:val="24"/>
        </w:rPr>
        <w:t xml:space="preserve">fished. The majority </w:t>
      </w:r>
      <w:r w:rsidR="005356AF" w:rsidRPr="00F314C1">
        <w:rPr>
          <w:rFonts w:asciiTheme="minorHAnsi" w:hAnsiTheme="minorHAnsi"/>
          <w:sz w:val="24"/>
          <w:szCs w:val="24"/>
        </w:rPr>
        <w:t xml:space="preserve">of </w:t>
      </w:r>
      <w:r w:rsidR="00EB5433" w:rsidRPr="00F314C1">
        <w:rPr>
          <w:rFonts w:asciiTheme="minorHAnsi" w:hAnsiTheme="minorHAnsi"/>
          <w:sz w:val="24"/>
          <w:szCs w:val="24"/>
        </w:rPr>
        <w:t>respondents</w:t>
      </w:r>
      <w:r w:rsidRPr="00F314C1">
        <w:rPr>
          <w:rFonts w:asciiTheme="minorHAnsi" w:hAnsiTheme="minorHAnsi"/>
          <w:sz w:val="24"/>
          <w:szCs w:val="24"/>
        </w:rPr>
        <w:t xml:space="preserve"> (66.5%) desc</w:t>
      </w:r>
      <w:r w:rsidR="00EB5433" w:rsidRPr="00F314C1">
        <w:rPr>
          <w:rFonts w:asciiTheme="minorHAnsi" w:hAnsiTheme="minorHAnsi"/>
          <w:sz w:val="24"/>
          <w:szCs w:val="24"/>
        </w:rPr>
        <w:t>ribed</w:t>
      </w:r>
      <w:r w:rsidRPr="00F314C1">
        <w:rPr>
          <w:rFonts w:asciiTheme="minorHAnsi" w:hAnsiTheme="minorHAnsi"/>
          <w:sz w:val="24"/>
          <w:szCs w:val="24"/>
        </w:rPr>
        <w:t xml:space="preserve"> their primary fishing activities as for personal use and subsistence. Sport fishing is the next most common kind of fishing (42%), followed by a much smaller group of commercial fishers (7%) and guide/charter operators (2%). When asked to describe the role of salmon in their household, 67% report</w:t>
      </w:r>
      <w:r w:rsidR="00EB5433" w:rsidRPr="00F314C1">
        <w:rPr>
          <w:rFonts w:asciiTheme="minorHAnsi" w:hAnsiTheme="minorHAnsi"/>
          <w:sz w:val="24"/>
          <w:szCs w:val="24"/>
        </w:rPr>
        <w:t>ed</w:t>
      </w:r>
      <w:r w:rsidRPr="00F314C1">
        <w:rPr>
          <w:rFonts w:asciiTheme="minorHAnsi" w:hAnsiTheme="minorHAnsi"/>
          <w:sz w:val="24"/>
          <w:szCs w:val="24"/>
        </w:rPr>
        <w:t xml:space="preserve"> that it is an important part of their diet, 24% respond</w:t>
      </w:r>
      <w:r w:rsidR="00EB5433" w:rsidRPr="00F314C1">
        <w:rPr>
          <w:rFonts w:asciiTheme="minorHAnsi" w:hAnsiTheme="minorHAnsi"/>
          <w:sz w:val="24"/>
          <w:szCs w:val="24"/>
        </w:rPr>
        <w:t>ed</w:t>
      </w:r>
      <w:r w:rsidRPr="00F314C1">
        <w:rPr>
          <w:rFonts w:asciiTheme="minorHAnsi" w:hAnsiTheme="minorHAnsi"/>
          <w:sz w:val="24"/>
          <w:szCs w:val="24"/>
        </w:rPr>
        <w:t xml:space="preserve"> that it is an important part of their financial security, and 55% report</w:t>
      </w:r>
      <w:r w:rsidR="00EB5433" w:rsidRPr="00F314C1">
        <w:rPr>
          <w:rFonts w:asciiTheme="minorHAnsi" w:hAnsiTheme="minorHAnsi"/>
          <w:sz w:val="24"/>
          <w:szCs w:val="24"/>
        </w:rPr>
        <w:t>ed</w:t>
      </w:r>
      <w:r w:rsidRPr="00F314C1">
        <w:rPr>
          <w:rFonts w:asciiTheme="minorHAnsi" w:hAnsiTheme="minorHAnsi"/>
          <w:sz w:val="24"/>
          <w:szCs w:val="24"/>
        </w:rPr>
        <w:t xml:space="preserve"> that salmon are important to their community and/or culture.</w:t>
      </w:r>
    </w:p>
    <w:p w14:paraId="6498802A" w14:textId="77777777" w:rsidR="00EB5433" w:rsidRPr="00F314C1" w:rsidRDefault="00EB5433" w:rsidP="00C379D4">
      <w:pPr>
        <w:jc w:val="both"/>
        <w:rPr>
          <w:rFonts w:asciiTheme="minorHAnsi" w:hAnsiTheme="minorHAnsi"/>
          <w:sz w:val="24"/>
          <w:szCs w:val="24"/>
        </w:rPr>
      </w:pPr>
      <w:r w:rsidRPr="00F314C1">
        <w:rPr>
          <w:rFonts w:asciiTheme="minorHAnsi" w:hAnsiTheme="minorHAnsi"/>
          <w:sz w:val="24"/>
          <w:szCs w:val="24"/>
        </w:rPr>
        <w:t>65.4% of respondents reported having some fish left over from the previous year when the new fishing season begins. Of those, 30% smoke, can, or otherwise preserve it; 28.1% give it away; 17.6% use it for dog food; 11.9% donate it; 6.7% throw it away; 4% compost it; and 1.7% trade or barter with it.</w:t>
      </w:r>
    </w:p>
    <w:p w14:paraId="6498802B" w14:textId="28300740" w:rsidR="00324194" w:rsidRPr="00F314C1" w:rsidRDefault="00324194" w:rsidP="00C379D4">
      <w:pPr>
        <w:pStyle w:val="Heading4"/>
        <w:keepNext/>
        <w:jc w:val="both"/>
        <w:rPr>
          <w:sz w:val="24"/>
          <w:szCs w:val="24"/>
        </w:rPr>
      </w:pPr>
      <w:r w:rsidRPr="00F314C1">
        <w:rPr>
          <w:sz w:val="24"/>
          <w:szCs w:val="24"/>
        </w:rPr>
        <w:t xml:space="preserve">Applicability of the Data for use in Determining </w:t>
      </w:r>
      <w:r w:rsidR="007F6D08" w:rsidRPr="00F314C1">
        <w:rPr>
          <w:sz w:val="24"/>
          <w:szCs w:val="24"/>
        </w:rPr>
        <w:t>FCR</w:t>
      </w:r>
      <w:r w:rsidRPr="00F314C1">
        <w:rPr>
          <w:sz w:val="24"/>
          <w:szCs w:val="24"/>
        </w:rPr>
        <w:t>s</w:t>
      </w:r>
    </w:p>
    <w:p w14:paraId="6498802C" w14:textId="578C60D0" w:rsidR="00324194" w:rsidRPr="00F314C1" w:rsidRDefault="000434D3" w:rsidP="00C379D4">
      <w:pPr>
        <w:keepNext/>
        <w:spacing w:after="240"/>
        <w:jc w:val="both"/>
        <w:rPr>
          <w:rFonts w:asciiTheme="minorHAnsi" w:hAnsiTheme="minorHAnsi"/>
          <w:sz w:val="24"/>
          <w:szCs w:val="24"/>
        </w:rPr>
      </w:pPr>
      <w:r w:rsidRPr="00F314C1">
        <w:rPr>
          <w:rFonts w:asciiTheme="minorHAnsi" w:hAnsiTheme="minorHAnsi"/>
          <w:sz w:val="24"/>
          <w:szCs w:val="24"/>
        </w:rPr>
        <w:t xml:space="preserve">The </w:t>
      </w:r>
      <w:r w:rsidR="006613C0" w:rsidRPr="00F314C1">
        <w:rPr>
          <w:rFonts w:asciiTheme="minorHAnsi" w:hAnsiTheme="minorHAnsi"/>
          <w:sz w:val="24"/>
          <w:szCs w:val="24"/>
        </w:rPr>
        <w:t xml:space="preserve">goal </w:t>
      </w:r>
      <w:r w:rsidRPr="00F314C1">
        <w:rPr>
          <w:rFonts w:asciiTheme="minorHAnsi" w:hAnsiTheme="minorHAnsi"/>
          <w:sz w:val="24"/>
          <w:szCs w:val="24"/>
        </w:rPr>
        <w:t xml:space="preserve">of this project was to capture information regarding access to locally harvested seafood and food security in the Kenai Peninsula. While the survey results provide information on the percentage of the population that harvests and consumes fish, there is limited detail </w:t>
      </w:r>
      <w:r w:rsidR="006613C0" w:rsidRPr="00F314C1">
        <w:rPr>
          <w:rFonts w:asciiTheme="minorHAnsi" w:hAnsiTheme="minorHAnsi"/>
          <w:sz w:val="24"/>
          <w:szCs w:val="24"/>
        </w:rPr>
        <w:t xml:space="preserve">on </w:t>
      </w:r>
      <w:r w:rsidRPr="00F314C1">
        <w:rPr>
          <w:rFonts w:asciiTheme="minorHAnsi" w:hAnsiTheme="minorHAnsi"/>
          <w:sz w:val="24"/>
          <w:szCs w:val="24"/>
        </w:rPr>
        <w:t xml:space="preserve">the quantity and frequency of consumption, or </w:t>
      </w:r>
      <w:r w:rsidR="006613C0" w:rsidRPr="00F314C1">
        <w:rPr>
          <w:rFonts w:asciiTheme="minorHAnsi" w:hAnsiTheme="minorHAnsi"/>
          <w:sz w:val="24"/>
          <w:szCs w:val="24"/>
        </w:rPr>
        <w:t xml:space="preserve">on </w:t>
      </w:r>
      <w:r w:rsidRPr="00F314C1">
        <w:rPr>
          <w:rFonts w:asciiTheme="minorHAnsi" w:hAnsiTheme="minorHAnsi"/>
          <w:sz w:val="24"/>
          <w:szCs w:val="24"/>
        </w:rPr>
        <w:t xml:space="preserve">the types of fish and seafood consumed and harvested. </w:t>
      </w:r>
      <w:r w:rsidR="00090992" w:rsidRPr="00F314C1">
        <w:rPr>
          <w:rFonts w:asciiTheme="minorHAnsi" w:hAnsiTheme="minorHAnsi"/>
          <w:sz w:val="24"/>
          <w:szCs w:val="24"/>
        </w:rPr>
        <w:t>The survey achieved a</w:t>
      </w:r>
      <w:r w:rsidR="00705CFE">
        <w:rPr>
          <w:rFonts w:asciiTheme="minorHAnsi" w:hAnsiTheme="minorHAnsi"/>
          <w:sz w:val="24"/>
          <w:szCs w:val="24"/>
        </w:rPr>
        <w:t xml:space="preserve"> </w:t>
      </w:r>
      <w:r w:rsidR="00090992" w:rsidRPr="00F314C1">
        <w:rPr>
          <w:rFonts w:asciiTheme="minorHAnsi" w:hAnsiTheme="minorHAnsi"/>
          <w:sz w:val="24"/>
          <w:szCs w:val="24"/>
        </w:rPr>
        <w:t>response rate such that the results can be considered statistically significant (95% CI) for residents of the Kenai Peninsula; therefore, although the results reported are broad in scope</w:t>
      </w:r>
      <w:r w:rsidR="006613C0" w:rsidRPr="00F314C1">
        <w:rPr>
          <w:rFonts w:asciiTheme="minorHAnsi" w:hAnsiTheme="minorHAnsi"/>
          <w:sz w:val="24"/>
          <w:szCs w:val="24"/>
        </w:rPr>
        <w:t>,</w:t>
      </w:r>
      <w:r w:rsidR="00090992" w:rsidRPr="00F314C1">
        <w:rPr>
          <w:rFonts w:asciiTheme="minorHAnsi" w:hAnsiTheme="minorHAnsi"/>
          <w:sz w:val="24"/>
          <w:szCs w:val="24"/>
        </w:rPr>
        <w:t xml:space="preserve"> they can serve as useful benchmarks for future research. The information reported on fish waste is also of interest, as it provides insight on how to translate harvest rates to consumption rates in this region.</w:t>
      </w:r>
      <w:r w:rsidR="009574DF" w:rsidRPr="00F314C1">
        <w:rPr>
          <w:rFonts w:asciiTheme="minorHAnsi" w:hAnsiTheme="minorHAnsi"/>
          <w:sz w:val="24"/>
          <w:szCs w:val="24"/>
        </w:rPr>
        <w:t xml:space="preserve"> Identifying the portion of harvest that is not consumed, either due to spoilage or alternate use (e.g.</w:t>
      </w:r>
      <w:r w:rsidR="000E2D43" w:rsidRPr="00F314C1">
        <w:rPr>
          <w:rFonts w:asciiTheme="minorHAnsi" w:hAnsiTheme="minorHAnsi"/>
          <w:sz w:val="24"/>
          <w:szCs w:val="24"/>
        </w:rPr>
        <w:t>,</w:t>
      </w:r>
      <w:r w:rsidR="009574DF" w:rsidRPr="00F314C1">
        <w:rPr>
          <w:rFonts w:asciiTheme="minorHAnsi" w:hAnsiTheme="minorHAnsi"/>
          <w:sz w:val="24"/>
          <w:szCs w:val="24"/>
        </w:rPr>
        <w:t xml:space="preserve"> trade)</w:t>
      </w:r>
      <w:r w:rsidR="000E2D43" w:rsidRPr="00F314C1">
        <w:rPr>
          <w:rFonts w:asciiTheme="minorHAnsi" w:hAnsiTheme="minorHAnsi"/>
          <w:sz w:val="24"/>
          <w:szCs w:val="24"/>
        </w:rPr>
        <w:t>,</w:t>
      </w:r>
      <w:r w:rsidR="009A4092" w:rsidRPr="00F314C1">
        <w:rPr>
          <w:rFonts w:asciiTheme="minorHAnsi" w:hAnsiTheme="minorHAnsi"/>
          <w:sz w:val="24"/>
          <w:szCs w:val="24"/>
        </w:rPr>
        <w:t xml:space="preserve"> </w:t>
      </w:r>
      <w:r w:rsidR="004E0EEA" w:rsidRPr="00F314C1">
        <w:rPr>
          <w:rFonts w:asciiTheme="minorHAnsi" w:hAnsiTheme="minorHAnsi"/>
          <w:sz w:val="24"/>
          <w:szCs w:val="24"/>
        </w:rPr>
        <w:t>is</w:t>
      </w:r>
      <w:r w:rsidR="009A4092" w:rsidRPr="00F314C1">
        <w:rPr>
          <w:rFonts w:asciiTheme="minorHAnsi" w:hAnsiTheme="minorHAnsi"/>
          <w:sz w:val="24"/>
          <w:szCs w:val="24"/>
        </w:rPr>
        <w:t xml:space="preserve"> </w:t>
      </w:r>
      <w:r w:rsidR="009574DF" w:rsidRPr="00F314C1">
        <w:rPr>
          <w:rFonts w:asciiTheme="minorHAnsi" w:hAnsiTheme="minorHAnsi"/>
          <w:sz w:val="24"/>
          <w:szCs w:val="24"/>
        </w:rPr>
        <w:t>an important consideration when developing methods to utilize harvest rates to predict consumption patterns</w:t>
      </w:r>
      <w:r w:rsidR="004E0EEA" w:rsidRPr="00F314C1">
        <w:rPr>
          <w:rFonts w:asciiTheme="minorHAnsi" w:hAnsiTheme="minorHAnsi"/>
          <w:sz w:val="24"/>
          <w:szCs w:val="24"/>
        </w:rPr>
        <w:t xml:space="preserve"> </w:t>
      </w:r>
      <w:r w:rsidR="009574DF" w:rsidRPr="00F314C1">
        <w:rPr>
          <w:rFonts w:asciiTheme="minorHAnsi" w:hAnsiTheme="minorHAnsi"/>
          <w:sz w:val="24"/>
          <w:szCs w:val="24"/>
        </w:rPr>
        <w:t xml:space="preserve">(Wolfe and </w:t>
      </w:r>
      <w:proofErr w:type="spellStart"/>
      <w:r w:rsidR="009574DF" w:rsidRPr="00F314C1">
        <w:rPr>
          <w:rFonts w:asciiTheme="minorHAnsi" w:hAnsiTheme="minorHAnsi"/>
          <w:sz w:val="24"/>
          <w:szCs w:val="24"/>
        </w:rPr>
        <w:t>Utermohle</w:t>
      </w:r>
      <w:proofErr w:type="spellEnd"/>
      <w:r w:rsidR="009574DF" w:rsidRPr="00F314C1">
        <w:rPr>
          <w:rFonts w:asciiTheme="minorHAnsi" w:hAnsiTheme="minorHAnsi"/>
          <w:sz w:val="24"/>
          <w:szCs w:val="24"/>
        </w:rPr>
        <w:t>, 2000)</w:t>
      </w:r>
      <w:r w:rsidR="00002099" w:rsidRPr="00F314C1">
        <w:rPr>
          <w:rFonts w:asciiTheme="minorHAnsi" w:hAnsiTheme="minorHAnsi"/>
          <w:sz w:val="24"/>
          <w:szCs w:val="24"/>
        </w:rPr>
        <w:t xml:space="preserve">. </w:t>
      </w:r>
    </w:p>
    <w:p w14:paraId="6498802D" w14:textId="77777777" w:rsidR="00DC04D7" w:rsidRPr="00564F7E" w:rsidRDefault="00DC04D7" w:rsidP="00C379D4">
      <w:pPr>
        <w:pStyle w:val="Heading2"/>
        <w:spacing w:before="0" w:after="60"/>
        <w:jc w:val="both"/>
        <w:rPr>
          <w:szCs w:val="24"/>
        </w:rPr>
      </w:pPr>
      <w:bookmarkStart w:id="50" w:name="_Toc390121666"/>
      <w:r w:rsidRPr="00564F7E">
        <w:rPr>
          <w:szCs w:val="24"/>
        </w:rPr>
        <w:t>Assessment of Cook Inlet Tribes Subsistence Consumption</w:t>
      </w:r>
      <w:bookmarkEnd w:id="50"/>
    </w:p>
    <w:p w14:paraId="6498802F" w14:textId="0BE21BC4" w:rsidR="00DC04D7" w:rsidRPr="00F314C1" w:rsidRDefault="00DC04D7" w:rsidP="00C379D4">
      <w:pPr>
        <w:pStyle w:val="Heading3"/>
        <w:spacing w:before="0" w:after="60"/>
        <w:jc w:val="both"/>
        <w:rPr>
          <w:sz w:val="24"/>
          <w:szCs w:val="24"/>
        </w:rPr>
      </w:pPr>
      <w:bookmarkStart w:id="51" w:name="_Toc390121667"/>
      <w:proofErr w:type="spellStart"/>
      <w:r w:rsidRPr="00F314C1">
        <w:rPr>
          <w:sz w:val="24"/>
          <w:szCs w:val="24"/>
        </w:rPr>
        <w:t>Seldovia</w:t>
      </w:r>
      <w:proofErr w:type="spellEnd"/>
      <w:r w:rsidRPr="00F314C1">
        <w:rPr>
          <w:sz w:val="24"/>
          <w:szCs w:val="24"/>
        </w:rPr>
        <w:t xml:space="preserve"> Village Tribe Environmental Department</w:t>
      </w:r>
      <w:bookmarkEnd w:id="51"/>
      <w:r w:rsidR="00157270" w:rsidRPr="00F314C1">
        <w:rPr>
          <w:sz w:val="24"/>
          <w:szCs w:val="24"/>
        </w:rPr>
        <w:t xml:space="preserve">, </w:t>
      </w:r>
      <w:bookmarkStart w:id="52" w:name="_Toc390121668"/>
      <w:r w:rsidR="00157270" w:rsidRPr="00F314C1">
        <w:rPr>
          <w:sz w:val="24"/>
          <w:szCs w:val="24"/>
        </w:rPr>
        <w:t>September</w:t>
      </w:r>
      <w:r w:rsidRPr="00F314C1">
        <w:rPr>
          <w:sz w:val="24"/>
          <w:szCs w:val="24"/>
        </w:rPr>
        <w:t xml:space="preserve"> 2013</w:t>
      </w:r>
      <w:bookmarkEnd w:id="52"/>
    </w:p>
    <w:p w14:paraId="64988030" w14:textId="77777777" w:rsidR="00DC04D7" w:rsidRPr="00F314C1" w:rsidRDefault="00DC04D7" w:rsidP="00C379D4">
      <w:pPr>
        <w:pStyle w:val="Heading4"/>
        <w:jc w:val="both"/>
        <w:rPr>
          <w:sz w:val="24"/>
          <w:szCs w:val="24"/>
        </w:rPr>
      </w:pPr>
      <w:r w:rsidRPr="00F314C1">
        <w:rPr>
          <w:sz w:val="24"/>
          <w:szCs w:val="24"/>
        </w:rPr>
        <w:t xml:space="preserve">General Information </w:t>
      </w:r>
    </w:p>
    <w:p w14:paraId="64988031" w14:textId="499933D2" w:rsidR="00E01630" w:rsidRPr="00F314C1" w:rsidRDefault="00E01630" w:rsidP="00C379D4">
      <w:pPr>
        <w:jc w:val="both"/>
        <w:rPr>
          <w:rFonts w:asciiTheme="minorHAnsi" w:hAnsiTheme="minorHAnsi"/>
          <w:sz w:val="24"/>
          <w:szCs w:val="24"/>
        </w:rPr>
      </w:pPr>
      <w:r w:rsidRPr="00F314C1">
        <w:rPr>
          <w:rFonts w:asciiTheme="minorHAnsi" w:hAnsiTheme="minorHAnsi"/>
          <w:sz w:val="24"/>
          <w:szCs w:val="24"/>
        </w:rPr>
        <w:t xml:space="preserve">Between November 2011 and September 2012, </w:t>
      </w:r>
      <w:proofErr w:type="spellStart"/>
      <w:r w:rsidRPr="00F314C1">
        <w:rPr>
          <w:rFonts w:asciiTheme="minorHAnsi" w:hAnsiTheme="minorHAnsi"/>
          <w:sz w:val="24"/>
          <w:szCs w:val="24"/>
        </w:rPr>
        <w:t>Seldovia</w:t>
      </w:r>
      <w:proofErr w:type="spellEnd"/>
      <w:r w:rsidRPr="00F314C1">
        <w:rPr>
          <w:rFonts w:asciiTheme="minorHAnsi" w:hAnsiTheme="minorHAnsi"/>
          <w:sz w:val="24"/>
          <w:szCs w:val="24"/>
        </w:rPr>
        <w:t xml:space="preserve"> Village Tribe staff undertook a subsistence consu</w:t>
      </w:r>
      <w:r w:rsidR="007D7FAC" w:rsidRPr="00F314C1">
        <w:rPr>
          <w:rFonts w:asciiTheme="minorHAnsi" w:hAnsiTheme="minorHAnsi"/>
          <w:sz w:val="24"/>
          <w:szCs w:val="24"/>
        </w:rPr>
        <w:t xml:space="preserve">mption assessment </w:t>
      </w:r>
      <w:r w:rsidRPr="00F314C1">
        <w:rPr>
          <w:rFonts w:asciiTheme="minorHAnsi" w:hAnsiTheme="minorHAnsi"/>
          <w:sz w:val="24"/>
          <w:szCs w:val="24"/>
        </w:rPr>
        <w:t>of Cook Inlet tribal members</w:t>
      </w:r>
      <w:r w:rsidR="00275E57" w:rsidRPr="00F314C1">
        <w:rPr>
          <w:rFonts w:asciiTheme="minorHAnsi" w:hAnsiTheme="minorHAnsi"/>
          <w:sz w:val="24"/>
          <w:szCs w:val="24"/>
        </w:rPr>
        <w:t>; the project was funded</w:t>
      </w:r>
      <w:r w:rsidR="00771AA9" w:rsidRPr="00F314C1">
        <w:rPr>
          <w:rFonts w:asciiTheme="minorHAnsi" w:hAnsiTheme="minorHAnsi"/>
          <w:sz w:val="24"/>
          <w:szCs w:val="24"/>
        </w:rPr>
        <w:t xml:space="preserve"> </w:t>
      </w:r>
      <w:r w:rsidR="00275E57" w:rsidRPr="00F314C1">
        <w:rPr>
          <w:rFonts w:asciiTheme="minorHAnsi" w:hAnsiTheme="minorHAnsi"/>
          <w:sz w:val="24"/>
          <w:szCs w:val="24"/>
        </w:rPr>
        <w:t>by</w:t>
      </w:r>
      <w:r w:rsidRPr="00F314C1">
        <w:rPr>
          <w:rFonts w:asciiTheme="minorHAnsi" w:hAnsiTheme="minorHAnsi"/>
          <w:sz w:val="24"/>
          <w:szCs w:val="24"/>
        </w:rPr>
        <w:t xml:space="preserve"> EPA</w:t>
      </w:r>
      <w:r w:rsidR="00275E57" w:rsidRPr="00F314C1">
        <w:rPr>
          <w:rFonts w:asciiTheme="minorHAnsi" w:hAnsiTheme="minorHAnsi"/>
          <w:sz w:val="24"/>
          <w:szCs w:val="24"/>
        </w:rPr>
        <w:t>’s</w:t>
      </w:r>
      <w:r w:rsidRPr="00F314C1">
        <w:rPr>
          <w:rFonts w:asciiTheme="minorHAnsi" w:hAnsiTheme="minorHAnsi"/>
          <w:sz w:val="24"/>
          <w:szCs w:val="24"/>
        </w:rPr>
        <w:t xml:space="preserve"> Indian General Assistance Program. Th</w:t>
      </w:r>
      <w:r w:rsidR="00275E57" w:rsidRPr="00F314C1">
        <w:rPr>
          <w:rFonts w:asciiTheme="minorHAnsi" w:hAnsiTheme="minorHAnsi"/>
          <w:sz w:val="24"/>
          <w:szCs w:val="24"/>
        </w:rPr>
        <w:t>e</w:t>
      </w:r>
      <w:r w:rsidRPr="00F314C1">
        <w:rPr>
          <w:rFonts w:asciiTheme="minorHAnsi" w:hAnsiTheme="minorHAnsi"/>
          <w:sz w:val="24"/>
          <w:szCs w:val="24"/>
        </w:rPr>
        <w:t xml:space="preserve"> assessment involved an interview-based survey that examined subs</w:t>
      </w:r>
      <w:r w:rsidR="002C6CE3" w:rsidRPr="00F314C1">
        <w:rPr>
          <w:rFonts w:asciiTheme="minorHAnsi" w:hAnsiTheme="minorHAnsi"/>
          <w:sz w:val="24"/>
          <w:szCs w:val="24"/>
        </w:rPr>
        <w:t>istence food consumption rates and patterns</w:t>
      </w:r>
      <w:r w:rsidRPr="00F314C1">
        <w:rPr>
          <w:rFonts w:asciiTheme="minorHAnsi" w:hAnsiTheme="minorHAnsi"/>
          <w:sz w:val="24"/>
          <w:szCs w:val="24"/>
        </w:rPr>
        <w:t xml:space="preserve"> of Alaska Natives residing in </w:t>
      </w:r>
      <w:proofErr w:type="spellStart"/>
      <w:r w:rsidRPr="00F314C1">
        <w:rPr>
          <w:rFonts w:asciiTheme="minorHAnsi" w:hAnsiTheme="minorHAnsi"/>
          <w:sz w:val="24"/>
          <w:szCs w:val="24"/>
        </w:rPr>
        <w:t>Seldovia</w:t>
      </w:r>
      <w:proofErr w:type="spellEnd"/>
      <w:r w:rsidRPr="00F314C1">
        <w:rPr>
          <w:rFonts w:asciiTheme="minorHAnsi" w:hAnsiTheme="minorHAnsi"/>
          <w:sz w:val="24"/>
          <w:szCs w:val="24"/>
        </w:rPr>
        <w:t xml:space="preserve">, Port Graham, </w:t>
      </w:r>
      <w:proofErr w:type="spellStart"/>
      <w:r w:rsidRPr="00F314C1">
        <w:rPr>
          <w:rFonts w:asciiTheme="minorHAnsi" w:hAnsiTheme="minorHAnsi"/>
          <w:sz w:val="24"/>
          <w:szCs w:val="24"/>
        </w:rPr>
        <w:t>Nanwalek</w:t>
      </w:r>
      <w:proofErr w:type="spellEnd"/>
      <w:r w:rsidRPr="00F314C1">
        <w:rPr>
          <w:rFonts w:asciiTheme="minorHAnsi" w:hAnsiTheme="minorHAnsi"/>
          <w:sz w:val="24"/>
          <w:szCs w:val="24"/>
        </w:rPr>
        <w:t xml:space="preserve">, and </w:t>
      </w:r>
      <w:proofErr w:type="spellStart"/>
      <w:r w:rsidRPr="00F314C1">
        <w:rPr>
          <w:rFonts w:asciiTheme="minorHAnsi" w:hAnsiTheme="minorHAnsi"/>
          <w:sz w:val="24"/>
          <w:szCs w:val="24"/>
        </w:rPr>
        <w:t>Tyonek</w:t>
      </w:r>
      <w:proofErr w:type="spellEnd"/>
      <w:r w:rsidRPr="00F314C1">
        <w:rPr>
          <w:rFonts w:asciiTheme="minorHAnsi" w:hAnsiTheme="minorHAnsi"/>
          <w:sz w:val="24"/>
          <w:szCs w:val="24"/>
        </w:rPr>
        <w:t>.</w:t>
      </w:r>
    </w:p>
    <w:p w14:paraId="64988032" w14:textId="77777777" w:rsidR="00DC04D7" w:rsidRPr="00F314C1" w:rsidRDefault="00DC04D7" w:rsidP="00C379D4">
      <w:pPr>
        <w:pStyle w:val="Heading4"/>
        <w:jc w:val="both"/>
        <w:rPr>
          <w:sz w:val="24"/>
          <w:szCs w:val="24"/>
        </w:rPr>
      </w:pPr>
      <w:r w:rsidRPr="00F314C1">
        <w:rPr>
          <w:sz w:val="24"/>
          <w:szCs w:val="24"/>
        </w:rPr>
        <w:t>Study Population</w:t>
      </w:r>
    </w:p>
    <w:p w14:paraId="64988033" w14:textId="00A5CBDA" w:rsidR="00E01630" w:rsidRPr="00F314C1" w:rsidRDefault="00D049B6" w:rsidP="00C379D4">
      <w:pPr>
        <w:autoSpaceDE w:val="0"/>
        <w:autoSpaceDN w:val="0"/>
        <w:adjustRightInd w:val="0"/>
        <w:spacing w:after="0"/>
        <w:jc w:val="both"/>
        <w:rPr>
          <w:rFonts w:asciiTheme="minorHAnsi" w:hAnsiTheme="minorHAnsi"/>
          <w:sz w:val="24"/>
          <w:szCs w:val="24"/>
        </w:rPr>
      </w:pPr>
      <w:proofErr w:type="spellStart"/>
      <w:r w:rsidRPr="00F314C1">
        <w:rPr>
          <w:rFonts w:asciiTheme="minorHAnsi" w:hAnsiTheme="minorHAnsi"/>
          <w:sz w:val="24"/>
          <w:szCs w:val="24"/>
        </w:rPr>
        <w:lastRenderedPageBreak/>
        <w:t>Seldovia</w:t>
      </w:r>
      <w:proofErr w:type="spellEnd"/>
      <w:r w:rsidRPr="00F314C1">
        <w:rPr>
          <w:rFonts w:asciiTheme="minorHAnsi" w:hAnsiTheme="minorHAnsi"/>
          <w:sz w:val="24"/>
          <w:szCs w:val="24"/>
        </w:rPr>
        <w:t xml:space="preserve">, Port Graham, </w:t>
      </w:r>
      <w:proofErr w:type="spellStart"/>
      <w:r w:rsidRPr="00F314C1">
        <w:rPr>
          <w:rFonts w:asciiTheme="minorHAnsi" w:hAnsiTheme="minorHAnsi"/>
          <w:sz w:val="24"/>
          <w:szCs w:val="24"/>
        </w:rPr>
        <w:t>Nanwalek</w:t>
      </w:r>
      <w:proofErr w:type="spellEnd"/>
      <w:r w:rsidR="00275E57" w:rsidRPr="00F314C1">
        <w:rPr>
          <w:rFonts w:asciiTheme="minorHAnsi" w:hAnsiTheme="minorHAnsi"/>
          <w:sz w:val="24"/>
          <w:szCs w:val="24"/>
        </w:rPr>
        <w:t>,</w:t>
      </w:r>
      <w:r w:rsidRPr="00F314C1">
        <w:rPr>
          <w:rFonts w:asciiTheme="minorHAnsi" w:hAnsiTheme="minorHAnsi"/>
          <w:sz w:val="24"/>
          <w:szCs w:val="24"/>
        </w:rPr>
        <w:t xml:space="preserve"> and </w:t>
      </w:r>
      <w:proofErr w:type="spellStart"/>
      <w:r w:rsidRPr="00F314C1">
        <w:rPr>
          <w:rFonts w:asciiTheme="minorHAnsi" w:hAnsiTheme="minorHAnsi"/>
          <w:sz w:val="24"/>
          <w:szCs w:val="24"/>
        </w:rPr>
        <w:t>Tyonek</w:t>
      </w:r>
      <w:proofErr w:type="spellEnd"/>
      <w:r w:rsidRPr="00F314C1">
        <w:rPr>
          <w:rFonts w:asciiTheme="minorHAnsi" w:hAnsiTheme="minorHAnsi"/>
          <w:sz w:val="24"/>
          <w:szCs w:val="24"/>
        </w:rPr>
        <w:t xml:space="preserve"> </w:t>
      </w:r>
      <w:r w:rsidR="006F2EC5" w:rsidRPr="00F314C1">
        <w:rPr>
          <w:rFonts w:asciiTheme="minorHAnsi" w:hAnsiTheme="minorHAnsi"/>
          <w:sz w:val="24"/>
          <w:szCs w:val="24"/>
        </w:rPr>
        <w:t xml:space="preserve">residents over the age of 18 </w:t>
      </w:r>
      <w:r w:rsidRPr="00F314C1">
        <w:rPr>
          <w:rFonts w:asciiTheme="minorHAnsi" w:hAnsiTheme="minorHAnsi"/>
          <w:sz w:val="24"/>
          <w:szCs w:val="24"/>
        </w:rPr>
        <w:t>were eligible to participate in the survey. A sample size of 19 c</w:t>
      </w:r>
      <w:r w:rsidR="006F2EC5" w:rsidRPr="00F314C1">
        <w:rPr>
          <w:rFonts w:asciiTheme="minorHAnsi" w:hAnsiTheme="minorHAnsi"/>
          <w:sz w:val="24"/>
          <w:szCs w:val="24"/>
        </w:rPr>
        <w:t>ompleted interviews was sought (</w:t>
      </w:r>
      <w:r w:rsidRPr="00F314C1">
        <w:rPr>
          <w:rFonts w:asciiTheme="minorHAnsi" w:hAnsiTheme="minorHAnsi"/>
          <w:sz w:val="24"/>
          <w:szCs w:val="24"/>
        </w:rPr>
        <w:t>each from a different household) from each village.</w:t>
      </w:r>
      <w:r w:rsidR="006F2EC5" w:rsidRPr="00F314C1">
        <w:rPr>
          <w:rFonts w:asciiTheme="minorHAnsi" w:hAnsiTheme="minorHAnsi"/>
          <w:sz w:val="24"/>
          <w:szCs w:val="24"/>
        </w:rPr>
        <w:t xml:space="preserve"> The samples were randomly selected from village registry lists.</w:t>
      </w:r>
      <w:r w:rsidRPr="00F314C1">
        <w:rPr>
          <w:rFonts w:asciiTheme="minorHAnsi" w:hAnsiTheme="minorHAnsi"/>
          <w:sz w:val="24"/>
          <w:szCs w:val="24"/>
        </w:rPr>
        <w:t xml:space="preserve"> </w:t>
      </w:r>
      <w:r w:rsidR="006F2EC5" w:rsidRPr="00F314C1">
        <w:rPr>
          <w:rFonts w:asciiTheme="minorHAnsi" w:hAnsiTheme="minorHAnsi"/>
          <w:sz w:val="24"/>
          <w:szCs w:val="24"/>
        </w:rPr>
        <w:t xml:space="preserve">Respondents provided data for themselves and the youngest child living in the household. </w:t>
      </w:r>
      <w:r w:rsidRPr="00F314C1">
        <w:rPr>
          <w:rFonts w:asciiTheme="minorHAnsi" w:hAnsiTheme="minorHAnsi"/>
          <w:sz w:val="24"/>
          <w:szCs w:val="24"/>
        </w:rPr>
        <w:t xml:space="preserve">Compiled data </w:t>
      </w:r>
      <w:r w:rsidR="00275E57" w:rsidRPr="00F314C1">
        <w:rPr>
          <w:rFonts w:asciiTheme="minorHAnsi" w:hAnsiTheme="minorHAnsi"/>
          <w:sz w:val="24"/>
          <w:szCs w:val="24"/>
        </w:rPr>
        <w:t xml:space="preserve">were </w:t>
      </w:r>
      <w:r w:rsidRPr="00F314C1">
        <w:rPr>
          <w:rFonts w:asciiTheme="minorHAnsi" w:hAnsiTheme="minorHAnsi"/>
          <w:sz w:val="24"/>
          <w:szCs w:val="24"/>
        </w:rPr>
        <w:t xml:space="preserve">weighted based upon the number of tribal households in each village. </w:t>
      </w:r>
      <w:r w:rsidR="006F2EC5" w:rsidRPr="00F314C1">
        <w:rPr>
          <w:rFonts w:asciiTheme="minorHAnsi" w:hAnsiTheme="minorHAnsi"/>
          <w:sz w:val="24"/>
          <w:szCs w:val="24"/>
        </w:rPr>
        <w:t>The study procured the s</w:t>
      </w:r>
      <w:r w:rsidRPr="00F314C1">
        <w:rPr>
          <w:rFonts w:asciiTheme="minorHAnsi" w:hAnsiTheme="minorHAnsi"/>
          <w:sz w:val="24"/>
          <w:szCs w:val="24"/>
        </w:rPr>
        <w:t xml:space="preserve">ample size necessary to </w:t>
      </w:r>
      <w:r w:rsidR="006F2EC5" w:rsidRPr="00F314C1">
        <w:rPr>
          <w:rFonts w:asciiTheme="minorHAnsi" w:hAnsiTheme="minorHAnsi"/>
          <w:sz w:val="24"/>
          <w:szCs w:val="24"/>
        </w:rPr>
        <w:t>achieve 95% confidence</w:t>
      </w:r>
      <w:r w:rsidRPr="00F314C1">
        <w:rPr>
          <w:rFonts w:asciiTheme="minorHAnsi" w:hAnsiTheme="minorHAnsi"/>
          <w:sz w:val="24"/>
          <w:szCs w:val="24"/>
        </w:rPr>
        <w:t xml:space="preserve"> of the mean consumption within a bound of 9 grams,</w:t>
      </w:r>
      <w:r w:rsidR="006F2EC5" w:rsidRPr="00F314C1">
        <w:rPr>
          <w:rFonts w:asciiTheme="minorHAnsi" w:hAnsiTheme="minorHAnsi"/>
          <w:sz w:val="24"/>
          <w:szCs w:val="24"/>
        </w:rPr>
        <w:t xml:space="preserve"> </w:t>
      </w:r>
      <w:r w:rsidRPr="00F314C1">
        <w:rPr>
          <w:rFonts w:asciiTheme="minorHAnsi" w:hAnsiTheme="minorHAnsi"/>
          <w:sz w:val="24"/>
          <w:szCs w:val="24"/>
        </w:rPr>
        <w:t>assuming a sta</w:t>
      </w:r>
      <w:r w:rsidR="002C6CE3" w:rsidRPr="00F314C1">
        <w:rPr>
          <w:rFonts w:asciiTheme="minorHAnsi" w:hAnsiTheme="minorHAnsi"/>
          <w:sz w:val="24"/>
          <w:szCs w:val="24"/>
        </w:rPr>
        <w:t>ndard deviation of 30 g</w:t>
      </w:r>
      <w:r w:rsidR="00AB17A2" w:rsidRPr="00F314C1">
        <w:rPr>
          <w:rFonts w:asciiTheme="minorHAnsi" w:hAnsiTheme="minorHAnsi"/>
          <w:sz w:val="24"/>
          <w:szCs w:val="24"/>
        </w:rPr>
        <w:t>/day. The majority of interviews were conducted in May 2012.</w:t>
      </w:r>
    </w:p>
    <w:p w14:paraId="64988034" w14:textId="77777777" w:rsidR="00DC04D7" w:rsidRPr="00F314C1" w:rsidRDefault="00DC04D7" w:rsidP="00C379D4">
      <w:pPr>
        <w:pStyle w:val="Heading4"/>
        <w:jc w:val="both"/>
        <w:rPr>
          <w:sz w:val="24"/>
          <w:szCs w:val="24"/>
        </w:rPr>
      </w:pPr>
      <w:r w:rsidRPr="00F314C1">
        <w:rPr>
          <w:sz w:val="24"/>
          <w:szCs w:val="24"/>
        </w:rPr>
        <w:t>Data Collection Methods</w:t>
      </w:r>
    </w:p>
    <w:p w14:paraId="64988035" w14:textId="6B6AF462" w:rsidR="006F2EC5" w:rsidRPr="00F314C1" w:rsidRDefault="006F2EC5" w:rsidP="00C379D4">
      <w:pPr>
        <w:autoSpaceDE w:val="0"/>
        <w:autoSpaceDN w:val="0"/>
        <w:adjustRightInd w:val="0"/>
        <w:spacing w:after="0"/>
        <w:jc w:val="both"/>
        <w:rPr>
          <w:rFonts w:asciiTheme="minorHAnsi" w:hAnsiTheme="minorHAnsi"/>
          <w:sz w:val="24"/>
          <w:szCs w:val="24"/>
        </w:rPr>
      </w:pPr>
      <w:r w:rsidRPr="00F314C1">
        <w:rPr>
          <w:rFonts w:asciiTheme="minorHAnsi" w:hAnsiTheme="minorHAnsi"/>
          <w:sz w:val="24"/>
          <w:szCs w:val="24"/>
        </w:rPr>
        <w:t xml:space="preserve">Researchers used a </w:t>
      </w:r>
      <w:r w:rsidR="00AB17A2" w:rsidRPr="00F314C1">
        <w:rPr>
          <w:rFonts w:asciiTheme="minorHAnsi" w:hAnsiTheme="minorHAnsi"/>
          <w:sz w:val="24"/>
          <w:szCs w:val="24"/>
        </w:rPr>
        <w:t xml:space="preserve">single </w:t>
      </w:r>
      <w:r w:rsidRPr="00F314C1">
        <w:rPr>
          <w:rFonts w:asciiTheme="minorHAnsi" w:hAnsiTheme="minorHAnsi"/>
          <w:sz w:val="24"/>
          <w:szCs w:val="24"/>
        </w:rPr>
        <w:t xml:space="preserve">dietary recall survey to obtain information on respondents’ diets. </w:t>
      </w:r>
      <w:r w:rsidR="003D03D7" w:rsidRPr="00F314C1">
        <w:rPr>
          <w:rFonts w:asciiTheme="minorHAnsi" w:hAnsiTheme="minorHAnsi"/>
          <w:sz w:val="24"/>
          <w:szCs w:val="24"/>
        </w:rPr>
        <w:t xml:space="preserve">The questionnaire asked for consumption information on 29 species of Cook Inlet fish, specifically chosen because they are known to be traditionally harvested by tribal members and because they all can be found locally at least part of the year. </w:t>
      </w:r>
      <w:r w:rsidRPr="00F314C1">
        <w:rPr>
          <w:rFonts w:asciiTheme="minorHAnsi" w:hAnsiTheme="minorHAnsi"/>
          <w:sz w:val="24"/>
          <w:szCs w:val="24"/>
        </w:rPr>
        <w:t xml:space="preserve">Fish fillet (three ounce and five ounce) models were shown to respondents to help them determine accurate </w:t>
      </w:r>
      <w:r w:rsidR="003D03D7" w:rsidRPr="00F314C1">
        <w:rPr>
          <w:rFonts w:asciiTheme="minorHAnsi" w:hAnsiTheme="minorHAnsi"/>
          <w:sz w:val="24"/>
          <w:szCs w:val="24"/>
        </w:rPr>
        <w:t xml:space="preserve">consumption </w:t>
      </w:r>
      <w:r w:rsidRPr="00F314C1">
        <w:rPr>
          <w:rFonts w:asciiTheme="minorHAnsi" w:hAnsiTheme="minorHAnsi"/>
          <w:sz w:val="24"/>
          <w:szCs w:val="24"/>
        </w:rPr>
        <w:t>amounts</w:t>
      </w:r>
      <w:r w:rsidR="00561CAB" w:rsidRPr="00F314C1">
        <w:rPr>
          <w:rFonts w:asciiTheme="minorHAnsi" w:hAnsiTheme="minorHAnsi"/>
          <w:sz w:val="24"/>
          <w:szCs w:val="24"/>
        </w:rPr>
        <w:t>,</w:t>
      </w:r>
      <w:r w:rsidR="005B70C6" w:rsidRPr="00F314C1">
        <w:rPr>
          <w:rFonts w:asciiTheme="minorHAnsi" w:hAnsiTheme="minorHAnsi"/>
          <w:sz w:val="24"/>
          <w:szCs w:val="24"/>
        </w:rPr>
        <w:t xml:space="preserve"> and interviewers were </w:t>
      </w:r>
      <w:r w:rsidR="00561CAB" w:rsidRPr="00F314C1">
        <w:rPr>
          <w:rFonts w:asciiTheme="minorHAnsi" w:hAnsiTheme="minorHAnsi"/>
          <w:sz w:val="24"/>
          <w:szCs w:val="24"/>
        </w:rPr>
        <w:t xml:space="preserve">also equipped with </w:t>
      </w:r>
      <w:r w:rsidR="005B70C6" w:rsidRPr="00F314C1">
        <w:rPr>
          <w:rFonts w:asciiTheme="minorHAnsi" w:hAnsiTheme="minorHAnsi"/>
          <w:sz w:val="24"/>
          <w:szCs w:val="24"/>
        </w:rPr>
        <w:t>fish referen</w:t>
      </w:r>
      <w:r w:rsidR="002C6CE3" w:rsidRPr="00F314C1">
        <w:rPr>
          <w:rFonts w:asciiTheme="minorHAnsi" w:hAnsiTheme="minorHAnsi"/>
          <w:sz w:val="24"/>
          <w:szCs w:val="24"/>
        </w:rPr>
        <w:t>c</w:t>
      </w:r>
      <w:r w:rsidR="005B70C6" w:rsidRPr="00F314C1">
        <w:rPr>
          <w:rFonts w:asciiTheme="minorHAnsi" w:hAnsiTheme="minorHAnsi"/>
          <w:sz w:val="24"/>
          <w:szCs w:val="24"/>
        </w:rPr>
        <w:t>e books to ensure species consumed were correctly identified</w:t>
      </w:r>
      <w:r w:rsidRPr="00F314C1">
        <w:rPr>
          <w:rFonts w:asciiTheme="minorHAnsi" w:hAnsiTheme="minorHAnsi"/>
          <w:sz w:val="24"/>
          <w:szCs w:val="24"/>
        </w:rPr>
        <w:t>. The 18-page questionnaire consisted of 36 q</w:t>
      </w:r>
      <w:r w:rsidR="002C6CE3" w:rsidRPr="00F314C1">
        <w:rPr>
          <w:rFonts w:asciiTheme="minorHAnsi" w:hAnsiTheme="minorHAnsi"/>
          <w:sz w:val="24"/>
          <w:szCs w:val="24"/>
        </w:rPr>
        <w:t>uestions within five sections (memory recall, adult consumption of fish, child consumption of fish, a</w:t>
      </w:r>
      <w:r w:rsidRPr="00F314C1">
        <w:rPr>
          <w:rFonts w:asciiTheme="minorHAnsi" w:hAnsiTheme="minorHAnsi"/>
          <w:sz w:val="24"/>
          <w:szCs w:val="24"/>
        </w:rPr>
        <w:t>dult consumption of n</w:t>
      </w:r>
      <w:r w:rsidR="002C6CE3" w:rsidRPr="00F314C1">
        <w:rPr>
          <w:rFonts w:asciiTheme="minorHAnsi" w:hAnsiTheme="minorHAnsi"/>
          <w:sz w:val="24"/>
          <w:szCs w:val="24"/>
        </w:rPr>
        <w:t>on-fish subsistence foods, and o</w:t>
      </w:r>
      <w:r w:rsidRPr="00F314C1">
        <w:rPr>
          <w:rFonts w:asciiTheme="minorHAnsi" w:hAnsiTheme="minorHAnsi"/>
          <w:sz w:val="24"/>
          <w:szCs w:val="24"/>
        </w:rPr>
        <w:t xml:space="preserve">btaining fish). </w:t>
      </w:r>
      <w:r w:rsidR="003D03D7" w:rsidRPr="00F314C1">
        <w:rPr>
          <w:rFonts w:asciiTheme="minorHAnsi" w:hAnsiTheme="minorHAnsi"/>
          <w:sz w:val="24"/>
          <w:szCs w:val="24"/>
        </w:rPr>
        <w:t xml:space="preserve">Respondents were asked about the number of fish meals they consume on a weekly basis, on average, </w:t>
      </w:r>
      <w:r w:rsidR="00561CAB" w:rsidRPr="00F314C1">
        <w:rPr>
          <w:rFonts w:asciiTheme="minorHAnsi" w:hAnsiTheme="minorHAnsi"/>
          <w:sz w:val="24"/>
          <w:szCs w:val="24"/>
        </w:rPr>
        <w:t xml:space="preserve">and </w:t>
      </w:r>
      <w:r w:rsidR="003D03D7" w:rsidRPr="00F314C1">
        <w:rPr>
          <w:rFonts w:asciiTheme="minorHAnsi" w:hAnsiTheme="minorHAnsi"/>
          <w:sz w:val="24"/>
          <w:szCs w:val="24"/>
        </w:rPr>
        <w:t xml:space="preserve">throughout the year, and </w:t>
      </w:r>
      <w:r w:rsidRPr="00F314C1">
        <w:rPr>
          <w:rFonts w:asciiTheme="minorHAnsi" w:hAnsiTheme="minorHAnsi"/>
          <w:sz w:val="24"/>
          <w:szCs w:val="24"/>
        </w:rPr>
        <w:t>about their consumption of different fish species and fish parts</w:t>
      </w:r>
      <w:r w:rsidR="003D03D7" w:rsidRPr="00F314C1">
        <w:rPr>
          <w:rFonts w:asciiTheme="minorHAnsi" w:hAnsiTheme="minorHAnsi"/>
          <w:sz w:val="24"/>
          <w:szCs w:val="24"/>
        </w:rPr>
        <w:t>.</w:t>
      </w:r>
    </w:p>
    <w:p w14:paraId="64988036" w14:textId="27F037A0" w:rsidR="003D03D7" w:rsidRPr="00F314C1" w:rsidRDefault="003D03D7" w:rsidP="00C379D4">
      <w:pPr>
        <w:autoSpaceDE w:val="0"/>
        <w:autoSpaceDN w:val="0"/>
        <w:adjustRightInd w:val="0"/>
        <w:spacing w:after="0"/>
        <w:jc w:val="both"/>
        <w:rPr>
          <w:rFonts w:asciiTheme="minorHAnsi" w:hAnsiTheme="minorHAnsi"/>
          <w:sz w:val="24"/>
          <w:szCs w:val="24"/>
        </w:rPr>
      </w:pPr>
      <w:r w:rsidRPr="00F314C1">
        <w:rPr>
          <w:rFonts w:asciiTheme="minorHAnsi" w:hAnsiTheme="minorHAnsi"/>
          <w:sz w:val="24"/>
          <w:szCs w:val="24"/>
        </w:rPr>
        <w:t xml:space="preserve">In addition to the types </w:t>
      </w:r>
      <w:r w:rsidR="0005449C" w:rsidRPr="00F314C1">
        <w:rPr>
          <w:rFonts w:asciiTheme="minorHAnsi" w:hAnsiTheme="minorHAnsi"/>
          <w:sz w:val="24"/>
          <w:szCs w:val="24"/>
        </w:rPr>
        <w:t>and</w:t>
      </w:r>
      <w:r w:rsidRPr="00F314C1">
        <w:rPr>
          <w:rFonts w:asciiTheme="minorHAnsi" w:hAnsiTheme="minorHAnsi"/>
          <w:sz w:val="24"/>
          <w:szCs w:val="24"/>
        </w:rPr>
        <w:t xml:space="preserve"> quantity of fish </w:t>
      </w:r>
      <w:r w:rsidR="002C46C3" w:rsidRPr="00F314C1">
        <w:rPr>
          <w:rFonts w:asciiTheme="minorHAnsi" w:hAnsiTheme="minorHAnsi"/>
          <w:sz w:val="24"/>
          <w:szCs w:val="24"/>
        </w:rPr>
        <w:t>consumed</w:t>
      </w:r>
      <w:r w:rsidRPr="00F314C1">
        <w:rPr>
          <w:rFonts w:asciiTheme="minorHAnsi" w:hAnsiTheme="minorHAnsi"/>
          <w:sz w:val="24"/>
          <w:szCs w:val="24"/>
        </w:rPr>
        <w:t xml:space="preserve">, the survey also aimed to capture information on seasonal variation in fish consumption. Respondents were asked to identify the two months of the year they consume the most fish and the two months they consume the least fish. Respondents were then asked to estimate the average number of fish meals per week they consumed during the two months they identified as </w:t>
      </w:r>
      <w:r w:rsidR="002C46C3" w:rsidRPr="00F314C1">
        <w:rPr>
          <w:rFonts w:asciiTheme="minorHAnsi" w:hAnsiTheme="minorHAnsi"/>
          <w:sz w:val="24"/>
          <w:szCs w:val="24"/>
        </w:rPr>
        <w:t xml:space="preserve">the </w:t>
      </w:r>
      <w:r w:rsidRPr="00F314C1">
        <w:rPr>
          <w:rFonts w:asciiTheme="minorHAnsi" w:hAnsiTheme="minorHAnsi"/>
          <w:sz w:val="24"/>
          <w:szCs w:val="24"/>
        </w:rPr>
        <w:t>highest and least months of consumption.</w:t>
      </w:r>
    </w:p>
    <w:p w14:paraId="64988037" w14:textId="76019204" w:rsidR="003D03D7" w:rsidRPr="00F314C1" w:rsidRDefault="003D03D7" w:rsidP="00C379D4">
      <w:pPr>
        <w:autoSpaceDE w:val="0"/>
        <w:autoSpaceDN w:val="0"/>
        <w:adjustRightInd w:val="0"/>
        <w:spacing w:after="0"/>
        <w:jc w:val="both"/>
        <w:rPr>
          <w:rFonts w:asciiTheme="minorHAnsi" w:hAnsiTheme="minorHAnsi"/>
          <w:sz w:val="24"/>
          <w:szCs w:val="24"/>
        </w:rPr>
      </w:pPr>
      <w:r w:rsidRPr="00F314C1">
        <w:rPr>
          <w:rFonts w:asciiTheme="minorHAnsi" w:hAnsiTheme="minorHAnsi"/>
          <w:sz w:val="24"/>
          <w:szCs w:val="24"/>
        </w:rPr>
        <w:t>Additional</w:t>
      </w:r>
      <w:r w:rsidR="005B70C6" w:rsidRPr="00F314C1">
        <w:rPr>
          <w:rFonts w:asciiTheme="minorHAnsi" w:hAnsiTheme="minorHAnsi"/>
          <w:sz w:val="24"/>
          <w:szCs w:val="24"/>
        </w:rPr>
        <w:t xml:space="preserve"> data collected on the questionnaire included information on the source of fish (self- harvested, grocery store, </w:t>
      </w:r>
      <w:r w:rsidR="002C46C3" w:rsidRPr="00F314C1">
        <w:rPr>
          <w:rFonts w:asciiTheme="minorHAnsi" w:hAnsiTheme="minorHAnsi"/>
          <w:sz w:val="24"/>
          <w:szCs w:val="24"/>
        </w:rPr>
        <w:t xml:space="preserve">or </w:t>
      </w:r>
      <w:r w:rsidR="005B70C6" w:rsidRPr="00F314C1">
        <w:rPr>
          <w:rFonts w:asciiTheme="minorHAnsi" w:hAnsiTheme="minorHAnsi"/>
          <w:sz w:val="24"/>
          <w:szCs w:val="24"/>
        </w:rPr>
        <w:t>gift) and preparation methods. The survey also contained questions on consumption of other types of locally available seafood.</w:t>
      </w:r>
    </w:p>
    <w:p w14:paraId="64988038" w14:textId="77777777" w:rsidR="00DC04D7" w:rsidRPr="00F314C1" w:rsidRDefault="00DC04D7" w:rsidP="00C379D4">
      <w:pPr>
        <w:pStyle w:val="Heading4"/>
        <w:jc w:val="both"/>
        <w:rPr>
          <w:sz w:val="24"/>
          <w:szCs w:val="24"/>
        </w:rPr>
      </w:pPr>
      <w:r w:rsidRPr="00F314C1">
        <w:rPr>
          <w:sz w:val="24"/>
          <w:szCs w:val="24"/>
        </w:rPr>
        <w:t xml:space="preserve">Description of Data </w:t>
      </w:r>
    </w:p>
    <w:p w14:paraId="64988039" w14:textId="77B8741F" w:rsidR="00FE462A" w:rsidRPr="00F314C1" w:rsidRDefault="00AB17A2" w:rsidP="00C379D4">
      <w:pPr>
        <w:jc w:val="both"/>
        <w:rPr>
          <w:rFonts w:asciiTheme="minorHAnsi" w:hAnsiTheme="minorHAnsi"/>
          <w:sz w:val="24"/>
          <w:szCs w:val="24"/>
        </w:rPr>
      </w:pPr>
      <w:r w:rsidRPr="00F314C1">
        <w:rPr>
          <w:rFonts w:asciiTheme="minorHAnsi" w:hAnsiTheme="minorHAnsi"/>
          <w:sz w:val="24"/>
          <w:szCs w:val="24"/>
        </w:rPr>
        <w:t>The report presents a substantial amount of information on fish and seafood consumption of adults in children. For adults, results presented include</w:t>
      </w:r>
      <w:r w:rsidR="004F3D76" w:rsidRPr="00F314C1">
        <w:rPr>
          <w:rFonts w:asciiTheme="minorHAnsi" w:hAnsiTheme="minorHAnsi"/>
          <w:sz w:val="24"/>
          <w:szCs w:val="24"/>
        </w:rPr>
        <w:t>:</w:t>
      </w:r>
      <w:r w:rsidR="00FE462A" w:rsidRPr="00F314C1">
        <w:rPr>
          <w:rFonts w:asciiTheme="minorHAnsi" w:hAnsiTheme="minorHAnsi"/>
          <w:sz w:val="24"/>
          <w:szCs w:val="24"/>
        </w:rPr>
        <w:t xml:space="preserve"> rates of fish consumption, seasonal consumption rates, consumption of different fish species and parts, fish preparation methods</w:t>
      </w:r>
      <w:r w:rsidR="004F3D76" w:rsidRPr="00F314C1">
        <w:rPr>
          <w:rFonts w:asciiTheme="minorHAnsi" w:hAnsiTheme="minorHAnsi"/>
          <w:sz w:val="24"/>
          <w:szCs w:val="24"/>
        </w:rPr>
        <w:t>,</w:t>
      </w:r>
      <w:r w:rsidR="00FE462A" w:rsidRPr="00F314C1">
        <w:rPr>
          <w:rFonts w:asciiTheme="minorHAnsi" w:hAnsiTheme="minorHAnsi"/>
          <w:sz w:val="24"/>
          <w:szCs w:val="24"/>
        </w:rPr>
        <w:t xml:space="preserve"> and the origin of the fish consumed.</w:t>
      </w:r>
      <w:r w:rsidRPr="00F314C1">
        <w:rPr>
          <w:rFonts w:asciiTheme="minorHAnsi" w:hAnsiTheme="minorHAnsi"/>
          <w:sz w:val="24"/>
          <w:szCs w:val="24"/>
        </w:rPr>
        <w:t xml:space="preserve"> For children</w:t>
      </w:r>
      <w:r w:rsidR="00C17EDC">
        <w:rPr>
          <w:rFonts w:asciiTheme="minorHAnsi" w:hAnsiTheme="minorHAnsi"/>
          <w:sz w:val="24"/>
          <w:szCs w:val="24"/>
        </w:rPr>
        <w:t xml:space="preserve">: </w:t>
      </w:r>
      <w:r w:rsidRPr="00F314C1">
        <w:rPr>
          <w:rFonts w:asciiTheme="minorHAnsi" w:hAnsiTheme="minorHAnsi"/>
          <w:sz w:val="24"/>
          <w:szCs w:val="24"/>
        </w:rPr>
        <w:t>age when the individual began eating fish, rates of consumption, and consumption of different species and parts.</w:t>
      </w:r>
    </w:p>
    <w:p w14:paraId="6498803A" w14:textId="77777777" w:rsidR="00DC04D7" w:rsidRPr="00F314C1" w:rsidRDefault="00DC04D7" w:rsidP="00C379D4">
      <w:pPr>
        <w:pStyle w:val="Heading4"/>
        <w:jc w:val="both"/>
        <w:rPr>
          <w:sz w:val="24"/>
          <w:szCs w:val="24"/>
        </w:rPr>
      </w:pPr>
      <w:r w:rsidRPr="00F314C1">
        <w:rPr>
          <w:sz w:val="24"/>
          <w:szCs w:val="24"/>
        </w:rPr>
        <w:t>QA/QC Procedures</w:t>
      </w:r>
    </w:p>
    <w:p w14:paraId="6498803B" w14:textId="23CF178D" w:rsidR="005B70C6" w:rsidRPr="00F314C1" w:rsidRDefault="004F3D76" w:rsidP="00C379D4">
      <w:pPr>
        <w:jc w:val="both"/>
        <w:rPr>
          <w:rFonts w:asciiTheme="minorHAnsi" w:hAnsiTheme="minorHAnsi"/>
          <w:sz w:val="24"/>
          <w:szCs w:val="24"/>
        </w:rPr>
      </w:pPr>
      <w:r w:rsidRPr="00F314C1">
        <w:rPr>
          <w:rFonts w:asciiTheme="minorHAnsi" w:hAnsiTheme="minorHAnsi"/>
          <w:sz w:val="24"/>
          <w:szCs w:val="24"/>
        </w:rPr>
        <w:lastRenderedPageBreak/>
        <w:t>S</w:t>
      </w:r>
      <w:r w:rsidR="005B70C6" w:rsidRPr="00F314C1">
        <w:rPr>
          <w:rFonts w:asciiTheme="minorHAnsi" w:hAnsiTheme="minorHAnsi"/>
          <w:sz w:val="24"/>
          <w:szCs w:val="24"/>
        </w:rPr>
        <w:t xml:space="preserve">everal measures </w:t>
      </w:r>
      <w:r w:rsidRPr="00F314C1">
        <w:rPr>
          <w:rFonts w:asciiTheme="minorHAnsi" w:hAnsiTheme="minorHAnsi"/>
          <w:sz w:val="24"/>
          <w:szCs w:val="24"/>
        </w:rPr>
        <w:t xml:space="preserve">were undertaken </w:t>
      </w:r>
      <w:r w:rsidR="005B70C6" w:rsidRPr="00F314C1">
        <w:rPr>
          <w:rFonts w:asciiTheme="minorHAnsi" w:hAnsiTheme="minorHAnsi"/>
          <w:sz w:val="24"/>
          <w:szCs w:val="24"/>
        </w:rPr>
        <w:t xml:space="preserve">to ensure QA/QC during the data collection process. An initial pretest was conducted to identify any </w:t>
      </w:r>
      <w:r w:rsidRPr="00F314C1">
        <w:rPr>
          <w:rFonts w:asciiTheme="minorHAnsi" w:hAnsiTheme="minorHAnsi"/>
          <w:sz w:val="24"/>
          <w:szCs w:val="24"/>
        </w:rPr>
        <w:t xml:space="preserve">potential </w:t>
      </w:r>
      <w:r w:rsidR="005B70C6" w:rsidRPr="00F314C1">
        <w:rPr>
          <w:rFonts w:asciiTheme="minorHAnsi" w:hAnsiTheme="minorHAnsi"/>
          <w:sz w:val="24"/>
          <w:szCs w:val="24"/>
        </w:rPr>
        <w:t xml:space="preserve">problems with the delivery of the questions. Interviewers were trained </w:t>
      </w:r>
      <w:r w:rsidRPr="00F314C1">
        <w:rPr>
          <w:rFonts w:asciiTheme="minorHAnsi" w:hAnsiTheme="minorHAnsi"/>
          <w:sz w:val="24"/>
          <w:szCs w:val="24"/>
        </w:rPr>
        <w:t xml:space="preserve">through </w:t>
      </w:r>
      <w:r w:rsidR="005B70C6" w:rsidRPr="00F314C1">
        <w:rPr>
          <w:rFonts w:asciiTheme="minorHAnsi" w:hAnsiTheme="minorHAnsi"/>
          <w:sz w:val="24"/>
          <w:szCs w:val="24"/>
        </w:rPr>
        <w:t xml:space="preserve">self-study and a webinar </w:t>
      </w:r>
      <w:r w:rsidRPr="00F314C1">
        <w:rPr>
          <w:rFonts w:asciiTheme="minorHAnsi" w:hAnsiTheme="minorHAnsi"/>
          <w:sz w:val="24"/>
          <w:szCs w:val="24"/>
        </w:rPr>
        <w:t xml:space="preserve">conducted </w:t>
      </w:r>
      <w:r w:rsidR="005B70C6" w:rsidRPr="00F314C1">
        <w:rPr>
          <w:rFonts w:asciiTheme="minorHAnsi" w:hAnsiTheme="minorHAnsi"/>
          <w:sz w:val="24"/>
          <w:szCs w:val="24"/>
        </w:rPr>
        <w:t xml:space="preserve">by the </w:t>
      </w:r>
      <w:proofErr w:type="spellStart"/>
      <w:r w:rsidR="005B70C6" w:rsidRPr="00F314C1">
        <w:rPr>
          <w:rFonts w:asciiTheme="minorHAnsi" w:hAnsiTheme="minorHAnsi"/>
          <w:sz w:val="24"/>
          <w:szCs w:val="24"/>
        </w:rPr>
        <w:t>Seldovia</w:t>
      </w:r>
      <w:proofErr w:type="spellEnd"/>
      <w:r w:rsidR="005B70C6" w:rsidRPr="00F314C1">
        <w:rPr>
          <w:rFonts w:asciiTheme="minorHAnsi" w:hAnsiTheme="minorHAnsi"/>
          <w:sz w:val="24"/>
          <w:szCs w:val="24"/>
        </w:rPr>
        <w:t xml:space="preserve"> Village Tribe Environmental Department. For each interview, in addition to the trained interviewer, a monitor was present to ensure the interview was conducted correctly and </w:t>
      </w:r>
      <w:r w:rsidRPr="00F314C1">
        <w:rPr>
          <w:rFonts w:asciiTheme="minorHAnsi" w:hAnsiTheme="minorHAnsi"/>
          <w:sz w:val="24"/>
          <w:szCs w:val="24"/>
        </w:rPr>
        <w:t xml:space="preserve">that </w:t>
      </w:r>
      <w:r w:rsidR="005B70C6" w:rsidRPr="00F314C1">
        <w:rPr>
          <w:rFonts w:asciiTheme="minorHAnsi" w:hAnsiTheme="minorHAnsi"/>
          <w:sz w:val="24"/>
          <w:szCs w:val="24"/>
        </w:rPr>
        <w:t>the questionnaire was completed. For all participants who consented, the interview was recorded so that responses could later be clarified if needed.</w:t>
      </w:r>
    </w:p>
    <w:p w14:paraId="6498803C" w14:textId="77777777" w:rsidR="00DC04D7" w:rsidRPr="00F314C1" w:rsidRDefault="00DC04D7" w:rsidP="00C379D4">
      <w:pPr>
        <w:pStyle w:val="Heading4"/>
        <w:jc w:val="both"/>
        <w:rPr>
          <w:sz w:val="24"/>
          <w:szCs w:val="24"/>
        </w:rPr>
      </w:pPr>
      <w:r w:rsidRPr="00F314C1">
        <w:rPr>
          <w:sz w:val="24"/>
          <w:szCs w:val="24"/>
        </w:rPr>
        <w:t xml:space="preserve">Findings on Fish Consumption </w:t>
      </w:r>
    </w:p>
    <w:p w14:paraId="6498803D" w14:textId="7FFB1143" w:rsidR="00E01630" w:rsidRPr="00F314C1" w:rsidRDefault="00E01630" w:rsidP="00C379D4">
      <w:pPr>
        <w:autoSpaceDE w:val="0"/>
        <w:autoSpaceDN w:val="0"/>
        <w:adjustRightInd w:val="0"/>
        <w:spacing w:before="0" w:after="0" w:line="240" w:lineRule="auto"/>
        <w:jc w:val="both"/>
        <w:rPr>
          <w:rFonts w:asciiTheme="minorHAnsi" w:hAnsiTheme="minorHAnsi"/>
          <w:sz w:val="24"/>
          <w:szCs w:val="24"/>
        </w:rPr>
      </w:pPr>
      <w:r w:rsidRPr="00F314C1">
        <w:rPr>
          <w:rFonts w:asciiTheme="minorHAnsi" w:hAnsiTheme="minorHAnsi"/>
          <w:sz w:val="24"/>
          <w:szCs w:val="24"/>
        </w:rPr>
        <w:t xml:space="preserve">Results revealed that the average daily </w:t>
      </w:r>
      <w:r w:rsidR="007F6D08" w:rsidRPr="00F314C1">
        <w:rPr>
          <w:rFonts w:asciiTheme="minorHAnsi" w:hAnsiTheme="minorHAnsi"/>
          <w:sz w:val="24"/>
          <w:szCs w:val="24"/>
        </w:rPr>
        <w:t>FCR</w:t>
      </w:r>
      <w:r w:rsidRPr="00F314C1">
        <w:rPr>
          <w:rFonts w:asciiTheme="minorHAnsi" w:hAnsiTheme="minorHAnsi"/>
          <w:sz w:val="24"/>
          <w:szCs w:val="24"/>
        </w:rPr>
        <w:t xml:space="preserve"> for Cook Inlet tribal members was 94.8 (±</w:t>
      </w:r>
      <w:r w:rsidR="002C6CE3" w:rsidRPr="00F314C1">
        <w:rPr>
          <w:rFonts w:asciiTheme="minorHAnsi" w:hAnsiTheme="minorHAnsi"/>
          <w:sz w:val="24"/>
          <w:szCs w:val="24"/>
        </w:rPr>
        <w:t xml:space="preserve"> 23.5 SE) g/</w:t>
      </w:r>
      <w:r w:rsidR="007D7FAC" w:rsidRPr="00F314C1">
        <w:rPr>
          <w:rFonts w:asciiTheme="minorHAnsi" w:hAnsiTheme="minorHAnsi"/>
          <w:sz w:val="24"/>
          <w:szCs w:val="24"/>
        </w:rPr>
        <w:t>day</w:t>
      </w:r>
      <w:r w:rsidRPr="00F314C1">
        <w:rPr>
          <w:rFonts w:asciiTheme="minorHAnsi" w:hAnsiTheme="minorHAnsi"/>
          <w:sz w:val="24"/>
          <w:szCs w:val="24"/>
        </w:rPr>
        <w:t>.</w:t>
      </w:r>
      <w:r w:rsidR="00723B17" w:rsidRPr="00F314C1">
        <w:rPr>
          <w:rFonts w:asciiTheme="minorHAnsi" w:hAnsiTheme="minorHAnsi"/>
          <w:sz w:val="24"/>
          <w:szCs w:val="24"/>
        </w:rPr>
        <w:t xml:space="preserve"> T</w:t>
      </w:r>
      <w:r w:rsidRPr="00F314C1">
        <w:rPr>
          <w:rFonts w:asciiTheme="minorHAnsi" w:hAnsiTheme="minorHAnsi"/>
          <w:sz w:val="24"/>
          <w:szCs w:val="24"/>
        </w:rPr>
        <w:t xml:space="preserve">ribal members </w:t>
      </w:r>
      <w:r w:rsidR="00723B17" w:rsidRPr="00F314C1">
        <w:rPr>
          <w:rFonts w:asciiTheme="minorHAnsi" w:hAnsiTheme="minorHAnsi"/>
          <w:sz w:val="24"/>
          <w:szCs w:val="24"/>
        </w:rPr>
        <w:t xml:space="preserve">in </w:t>
      </w:r>
      <w:r w:rsidRPr="00F314C1">
        <w:rPr>
          <w:rFonts w:asciiTheme="minorHAnsi" w:hAnsiTheme="minorHAnsi"/>
          <w:sz w:val="24"/>
          <w:szCs w:val="24"/>
        </w:rPr>
        <w:t>their mid to late thirties through early to</w:t>
      </w:r>
      <w:r w:rsidR="005B70C6" w:rsidRPr="00F314C1">
        <w:rPr>
          <w:rFonts w:asciiTheme="minorHAnsi" w:hAnsiTheme="minorHAnsi"/>
          <w:sz w:val="24"/>
          <w:szCs w:val="24"/>
        </w:rPr>
        <w:t xml:space="preserve"> </w:t>
      </w:r>
      <w:r w:rsidRPr="00F314C1">
        <w:rPr>
          <w:rFonts w:asciiTheme="minorHAnsi" w:hAnsiTheme="minorHAnsi"/>
          <w:sz w:val="24"/>
          <w:szCs w:val="24"/>
        </w:rPr>
        <w:t>mid-sixties consumed the most fish</w:t>
      </w:r>
      <w:r w:rsidR="00723B17" w:rsidRPr="00F314C1">
        <w:rPr>
          <w:rFonts w:asciiTheme="minorHAnsi" w:hAnsiTheme="minorHAnsi"/>
          <w:sz w:val="24"/>
          <w:szCs w:val="24"/>
        </w:rPr>
        <w:t>;</w:t>
      </w:r>
      <w:r w:rsidRPr="00F314C1">
        <w:rPr>
          <w:rFonts w:asciiTheme="minorHAnsi" w:hAnsiTheme="minorHAnsi"/>
          <w:sz w:val="24"/>
          <w:szCs w:val="24"/>
        </w:rPr>
        <w:t xml:space="preserve"> males consumed more fish than females</w:t>
      </w:r>
      <w:r w:rsidR="00723B17" w:rsidRPr="00F314C1">
        <w:rPr>
          <w:rFonts w:asciiTheme="minorHAnsi" w:hAnsiTheme="minorHAnsi"/>
          <w:sz w:val="24"/>
          <w:szCs w:val="24"/>
        </w:rPr>
        <w:t>;</w:t>
      </w:r>
      <w:r w:rsidRPr="00F314C1">
        <w:rPr>
          <w:rFonts w:asciiTheme="minorHAnsi" w:hAnsiTheme="minorHAnsi"/>
          <w:sz w:val="24"/>
          <w:szCs w:val="24"/>
        </w:rPr>
        <w:t xml:space="preserve"> fishers consumed more fish than non-fishers</w:t>
      </w:r>
      <w:r w:rsidR="00723B17" w:rsidRPr="00F314C1">
        <w:rPr>
          <w:rFonts w:asciiTheme="minorHAnsi" w:hAnsiTheme="minorHAnsi"/>
          <w:sz w:val="24"/>
          <w:szCs w:val="24"/>
        </w:rPr>
        <w:t>;</w:t>
      </w:r>
      <w:r w:rsidRPr="00F314C1">
        <w:rPr>
          <w:rFonts w:asciiTheme="minorHAnsi" w:hAnsiTheme="minorHAnsi"/>
          <w:sz w:val="24"/>
          <w:szCs w:val="24"/>
        </w:rPr>
        <w:t xml:space="preserve"> and salmon was one of the top consumed fish. The average daily rate of fish consumption for children 5 years old and younger was 34.9 (± 17.4 SE) g/d</w:t>
      </w:r>
      <w:r w:rsidR="002C6CE3" w:rsidRPr="00F314C1">
        <w:rPr>
          <w:rFonts w:asciiTheme="minorHAnsi" w:hAnsiTheme="minorHAnsi"/>
          <w:sz w:val="24"/>
          <w:szCs w:val="24"/>
        </w:rPr>
        <w:t>ay</w:t>
      </w:r>
      <w:r w:rsidRPr="00F314C1">
        <w:rPr>
          <w:rFonts w:asciiTheme="minorHAnsi" w:hAnsiTheme="minorHAnsi"/>
          <w:sz w:val="24"/>
          <w:szCs w:val="24"/>
        </w:rPr>
        <w:t>. The average daily consumption rate of shellfish for adults was 12.0 (± 3.4 SE) g/d</w:t>
      </w:r>
      <w:r w:rsidR="002C6CE3" w:rsidRPr="00F314C1">
        <w:rPr>
          <w:rFonts w:asciiTheme="minorHAnsi" w:hAnsiTheme="minorHAnsi"/>
          <w:sz w:val="24"/>
          <w:szCs w:val="24"/>
        </w:rPr>
        <w:t>ay</w:t>
      </w:r>
      <w:r w:rsidR="00771AA9" w:rsidRPr="00F314C1">
        <w:rPr>
          <w:rFonts w:asciiTheme="minorHAnsi" w:hAnsiTheme="minorHAnsi"/>
          <w:sz w:val="24"/>
          <w:szCs w:val="24"/>
        </w:rPr>
        <w:t xml:space="preserve">. </w:t>
      </w:r>
      <w:r w:rsidR="00723B17" w:rsidRPr="00F314C1">
        <w:rPr>
          <w:rFonts w:asciiTheme="minorHAnsi" w:hAnsiTheme="minorHAnsi"/>
          <w:sz w:val="24"/>
          <w:szCs w:val="24"/>
        </w:rPr>
        <w:t>T</w:t>
      </w:r>
      <w:r w:rsidR="005B70C6" w:rsidRPr="00F314C1">
        <w:rPr>
          <w:rFonts w:asciiTheme="minorHAnsi" w:hAnsiTheme="minorHAnsi"/>
          <w:sz w:val="24"/>
          <w:szCs w:val="24"/>
        </w:rPr>
        <w:t>he two months of highest fish</w:t>
      </w:r>
      <w:r w:rsidR="00FE462A" w:rsidRPr="00F314C1">
        <w:rPr>
          <w:rFonts w:asciiTheme="minorHAnsi" w:hAnsiTheme="minorHAnsi"/>
          <w:sz w:val="24"/>
          <w:szCs w:val="24"/>
        </w:rPr>
        <w:t xml:space="preserve"> </w:t>
      </w:r>
      <w:r w:rsidR="005B70C6" w:rsidRPr="00F314C1">
        <w:rPr>
          <w:rFonts w:asciiTheme="minorHAnsi" w:hAnsiTheme="minorHAnsi"/>
          <w:sz w:val="24"/>
          <w:szCs w:val="24"/>
        </w:rPr>
        <w:t>consumption were June and July or July and August</w:t>
      </w:r>
      <w:r w:rsidR="00723B17" w:rsidRPr="00F314C1">
        <w:rPr>
          <w:rFonts w:asciiTheme="minorHAnsi" w:hAnsiTheme="minorHAnsi"/>
          <w:sz w:val="24"/>
          <w:szCs w:val="24"/>
        </w:rPr>
        <w:t xml:space="preserve"> for 51.9% of the respondents.</w:t>
      </w:r>
      <w:r w:rsidR="00D8631C" w:rsidRPr="00F314C1">
        <w:rPr>
          <w:rFonts w:asciiTheme="minorHAnsi" w:hAnsiTheme="minorHAnsi"/>
          <w:sz w:val="24"/>
          <w:szCs w:val="24"/>
        </w:rPr>
        <w:t xml:space="preserve"> For all months identified as high fish consumption months (i.e. months identified by each respondent as their two months of highest fish consumption), respondents consumed an average of 116.4 (± 19.3 SE) g/d of fish. During all low-fish consumption months, respondents consumed an average of 41.0 g/d (± 6.4 SE).</w:t>
      </w:r>
    </w:p>
    <w:p w14:paraId="6498803E" w14:textId="254C22ED" w:rsidR="005B70C6" w:rsidRPr="00F314C1" w:rsidRDefault="00FE462A" w:rsidP="00C379D4">
      <w:pPr>
        <w:autoSpaceDE w:val="0"/>
        <w:autoSpaceDN w:val="0"/>
        <w:adjustRightInd w:val="0"/>
        <w:spacing w:after="0"/>
        <w:jc w:val="both"/>
        <w:rPr>
          <w:rFonts w:asciiTheme="minorHAnsi" w:hAnsiTheme="minorHAnsi"/>
          <w:sz w:val="24"/>
          <w:szCs w:val="24"/>
        </w:rPr>
      </w:pPr>
      <w:r w:rsidRPr="00F314C1">
        <w:rPr>
          <w:rFonts w:asciiTheme="minorHAnsi" w:hAnsiTheme="minorHAnsi"/>
          <w:sz w:val="24"/>
          <w:szCs w:val="24"/>
        </w:rPr>
        <w:t xml:space="preserve">Coho salmon was the fish species eaten by the greatest number of respondents (89.5% of respondents), followed by halibut (83.9% of respondents), </w:t>
      </w:r>
      <w:proofErr w:type="gramStart"/>
      <w:r w:rsidRPr="00F314C1">
        <w:rPr>
          <w:rFonts w:asciiTheme="minorHAnsi" w:hAnsiTheme="minorHAnsi"/>
          <w:sz w:val="24"/>
          <w:szCs w:val="24"/>
        </w:rPr>
        <w:t>chinook</w:t>
      </w:r>
      <w:proofErr w:type="gramEnd"/>
      <w:r w:rsidRPr="00F314C1">
        <w:rPr>
          <w:rFonts w:asciiTheme="minorHAnsi" w:hAnsiTheme="minorHAnsi"/>
          <w:sz w:val="24"/>
          <w:szCs w:val="24"/>
        </w:rPr>
        <w:t xml:space="preserve"> salmon (79.0% </w:t>
      </w:r>
      <w:r w:rsidR="002C6CE3" w:rsidRPr="00F314C1">
        <w:rPr>
          <w:rFonts w:asciiTheme="minorHAnsi" w:hAnsiTheme="minorHAnsi"/>
          <w:sz w:val="24"/>
          <w:szCs w:val="24"/>
        </w:rPr>
        <w:t xml:space="preserve">of </w:t>
      </w:r>
      <w:r w:rsidRPr="00F314C1">
        <w:rPr>
          <w:rFonts w:asciiTheme="minorHAnsi" w:hAnsiTheme="minorHAnsi"/>
          <w:sz w:val="24"/>
          <w:szCs w:val="24"/>
        </w:rPr>
        <w:t>respondents), sockeye salmon (75.4% of respondents), and pink salmon (63.8% of respondents). In terms of quantity (g/d</w:t>
      </w:r>
      <w:r w:rsidR="002C6CE3" w:rsidRPr="00F314C1">
        <w:rPr>
          <w:rFonts w:asciiTheme="minorHAnsi" w:hAnsiTheme="minorHAnsi"/>
          <w:sz w:val="24"/>
          <w:szCs w:val="24"/>
        </w:rPr>
        <w:t>ay),</w:t>
      </w:r>
      <w:r w:rsidRPr="00F314C1">
        <w:rPr>
          <w:rFonts w:asciiTheme="minorHAnsi" w:hAnsiTheme="minorHAnsi"/>
          <w:sz w:val="24"/>
          <w:szCs w:val="24"/>
        </w:rPr>
        <w:t xml:space="preserve"> </w:t>
      </w:r>
      <w:proofErr w:type="spellStart"/>
      <w:r w:rsidRPr="00F314C1">
        <w:rPr>
          <w:rFonts w:asciiTheme="minorHAnsi" w:hAnsiTheme="minorHAnsi"/>
          <w:sz w:val="24"/>
          <w:szCs w:val="24"/>
        </w:rPr>
        <w:t>coho</w:t>
      </w:r>
      <w:proofErr w:type="spellEnd"/>
      <w:r w:rsidRPr="00F314C1">
        <w:rPr>
          <w:rFonts w:asciiTheme="minorHAnsi" w:hAnsiTheme="minorHAnsi"/>
          <w:sz w:val="24"/>
          <w:szCs w:val="24"/>
        </w:rPr>
        <w:t xml:space="preserve"> salmon had the highest average daily consumption rate by respondents at 31.2 (± 9.7 SE) g/d followed by sockeye salmon at 22.8 (± 5.5 SE) g/d </w:t>
      </w:r>
      <w:r w:rsidR="00723B17" w:rsidRPr="00F314C1">
        <w:rPr>
          <w:rFonts w:asciiTheme="minorHAnsi" w:hAnsiTheme="minorHAnsi"/>
          <w:sz w:val="24"/>
          <w:szCs w:val="24"/>
        </w:rPr>
        <w:t>and</w:t>
      </w:r>
      <w:r w:rsidRPr="00F314C1">
        <w:rPr>
          <w:rFonts w:asciiTheme="minorHAnsi" w:hAnsiTheme="minorHAnsi"/>
          <w:sz w:val="24"/>
          <w:szCs w:val="24"/>
        </w:rPr>
        <w:t xml:space="preserve"> pink salmon at 17.1 (± 4.6 SE).</w:t>
      </w:r>
    </w:p>
    <w:p w14:paraId="6498803F" w14:textId="62569BF0" w:rsidR="00DC04D7" w:rsidRPr="00F314C1" w:rsidRDefault="00DC04D7" w:rsidP="00C379D4">
      <w:pPr>
        <w:pStyle w:val="Heading4"/>
        <w:keepNext/>
        <w:jc w:val="both"/>
        <w:rPr>
          <w:sz w:val="24"/>
          <w:szCs w:val="24"/>
        </w:rPr>
      </w:pPr>
      <w:r w:rsidRPr="00F314C1">
        <w:rPr>
          <w:sz w:val="24"/>
          <w:szCs w:val="24"/>
        </w:rPr>
        <w:t xml:space="preserve">Applicability of the Data for use in Determining </w:t>
      </w:r>
      <w:r w:rsidR="007F6D08" w:rsidRPr="00F314C1">
        <w:rPr>
          <w:sz w:val="24"/>
          <w:szCs w:val="24"/>
        </w:rPr>
        <w:t>FCR</w:t>
      </w:r>
      <w:r w:rsidRPr="00F314C1">
        <w:rPr>
          <w:sz w:val="24"/>
          <w:szCs w:val="24"/>
        </w:rPr>
        <w:t>s</w:t>
      </w:r>
    </w:p>
    <w:p w14:paraId="64988040" w14:textId="07890F59" w:rsidR="00AB17A2" w:rsidRPr="00F314C1" w:rsidRDefault="00AB17A2" w:rsidP="00C379D4">
      <w:pPr>
        <w:keepNext/>
        <w:jc w:val="both"/>
        <w:rPr>
          <w:rFonts w:asciiTheme="minorHAnsi" w:hAnsiTheme="minorHAnsi"/>
          <w:sz w:val="24"/>
          <w:szCs w:val="24"/>
        </w:rPr>
      </w:pPr>
      <w:r w:rsidRPr="00F314C1">
        <w:rPr>
          <w:rFonts w:asciiTheme="minorHAnsi" w:hAnsiTheme="minorHAnsi"/>
          <w:sz w:val="24"/>
          <w:szCs w:val="24"/>
        </w:rPr>
        <w:t>This study was specifically focused on obtaining and presenting information on fish consumption by residents of Alaska Native</w:t>
      </w:r>
      <w:r w:rsidR="00671487" w:rsidRPr="00F314C1">
        <w:rPr>
          <w:rFonts w:asciiTheme="minorHAnsi" w:hAnsiTheme="minorHAnsi"/>
          <w:sz w:val="24"/>
          <w:szCs w:val="24"/>
        </w:rPr>
        <w:t xml:space="preserve"> communities in the Cook Inlet r</w:t>
      </w:r>
      <w:r w:rsidRPr="00F314C1">
        <w:rPr>
          <w:rFonts w:asciiTheme="minorHAnsi" w:hAnsiTheme="minorHAnsi"/>
          <w:sz w:val="24"/>
          <w:szCs w:val="24"/>
        </w:rPr>
        <w:t xml:space="preserve">egion. The information presented is </w:t>
      </w:r>
      <w:r w:rsidR="009C0B53" w:rsidRPr="00F314C1">
        <w:rPr>
          <w:rFonts w:asciiTheme="minorHAnsi" w:hAnsiTheme="minorHAnsi"/>
          <w:sz w:val="24"/>
          <w:szCs w:val="24"/>
        </w:rPr>
        <w:t xml:space="preserve">directly </w:t>
      </w:r>
      <w:r w:rsidRPr="00F314C1">
        <w:rPr>
          <w:rFonts w:asciiTheme="minorHAnsi" w:hAnsiTheme="minorHAnsi"/>
          <w:sz w:val="24"/>
          <w:szCs w:val="24"/>
        </w:rPr>
        <w:t xml:space="preserve">applicable to determining </w:t>
      </w:r>
      <w:r w:rsidR="007F6D08" w:rsidRPr="00F314C1">
        <w:rPr>
          <w:rFonts w:asciiTheme="minorHAnsi" w:hAnsiTheme="minorHAnsi"/>
          <w:sz w:val="24"/>
          <w:szCs w:val="24"/>
        </w:rPr>
        <w:t>FCR</w:t>
      </w:r>
      <w:r w:rsidRPr="00F314C1">
        <w:rPr>
          <w:rFonts w:asciiTheme="minorHAnsi" w:hAnsiTheme="minorHAnsi"/>
          <w:sz w:val="24"/>
          <w:szCs w:val="24"/>
        </w:rPr>
        <w:t xml:space="preserve">s in the region. The primary limitation of the data is the small sample sizes, </w:t>
      </w:r>
      <w:r w:rsidR="003725E9" w:rsidRPr="00F314C1">
        <w:rPr>
          <w:rFonts w:asciiTheme="minorHAnsi" w:hAnsiTheme="minorHAnsi"/>
          <w:sz w:val="24"/>
          <w:szCs w:val="24"/>
        </w:rPr>
        <w:t>which</w:t>
      </w:r>
      <w:r w:rsidR="0079679E" w:rsidRPr="00F314C1">
        <w:rPr>
          <w:rFonts w:asciiTheme="minorHAnsi" w:hAnsiTheme="minorHAnsi"/>
          <w:sz w:val="24"/>
          <w:szCs w:val="24"/>
        </w:rPr>
        <w:t xml:space="preserve"> results in </w:t>
      </w:r>
      <w:r w:rsidR="004875E5" w:rsidRPr="00F314C1">
        <w:rPr>
          <w:rFonts w:asciiTheme="minorHAnsi" w:hAnsiTheme="minorHAnsi"/>
          <w:sz w:val="24"/>
          <w:szCs w:val="24"/>
        </w:rPr>
        <w:t>a large standard error</w:t>
      </w:r>
      <w:r w:rsidR="0079679E" w:rsidRPr="00F314C1">
        <w:rPr>
          <w:rFonts w:asciiTheme="minorHAnsi" w:hAnsiTheme="minorHAnsi"/>
          <w:sz w:val="24"/>
          <w:szCs w:val="24"/>
        </w:rPr>
        <w:t xml:space="preserve">. </w:t>
      </w:r>
      <w:r w:rsidR="009C0B53" w:rsidRPr="00F314C1">
        <w:rPr>
          <w:rFonts w:asciiTheme="minorHAnsi" w:hAnsiTheme="minorHAnsi"/>
          <w:sz w:val="24"/>
          <w:szCs w:val="24"/>
        </w:rPr>
        <w:t xml:space="preserve">There </w:t>
      </w:r>
      <w:r w:rsidR="0079679E" w:rsidRPr="00F314C1">
        <w:rPr>
          <w:rFonts w:asciiTheme="minorHAnsi" w:hAnsiTheme="minorHAnsi"/>
          <w:sz w:val="24"/>
          <w:szCs w:val="24"/>
        </w:rPr>
        <w:t xml:space="preserve">also exists </w:t>
      </w:r>
      <w:r w:rsidR="009C0B53" w:rsidRPr="00F314C1">
        <w:rPr>
          <w:rFonts w:asciiTheme="minorHAnsi" w:hAnsiTheme="minorHAnsi"/>
          <w:sz w:val="24"/>
          <w:szCs w:val="24"/>
        </w:rPr>
        <w:t xml:space="preserve">the potential </w:t>
      </w:r>
      <w:r w:rsidR="0079679E" w:rsidRPr="00F314C1">
        <w:rPr>
          <w:rFonts w:asciiTheme="minorHAnsi" w:hAnsiTheme="minorHAnsi"/>
          <w:sz w:val="24"/>
          <w:szCs w:val="24"/>
        </w:rPr>
        <w:t xml:space="preserve">for </w:t>
      </w:r>
      <w:r w:rsidR="004875E5" w:rsidRPr="00F314C1">
        <w:rPr>
          <w:rFonts w:asciiTheme="minorHAnsi" w:hAnsiTheme="minorHAnsi"/>
          <w:sz w:val="24"/>
          <w:szCs w:val="24"/>
        </w:rPr>
        <w:t xml:space="preserve">misclassification of respondents’ consumption </w:t>
      </w:r>
      <w:r w:rsidR="0079679E" w:rsidRPr="00F314C1">
        <w:rPr>
          <w:rFonts w:asciiTheme="minorHAnsi" w:hAnsiTheme="minorHAnsi"/>
          <w:sz w:val="24"/>
          <w:szCs w:val="24"/>
        </w:rPr>
        <w:t>due</w:t>
      </w:r>
      <w:r w:rsidR="004875E5" w:rsidRPr="00F314C1">
        <w:rPr>
          <w:rFonts w:asciiTheme="minorHAnsi" w:hAnsiTheme="minorHAnsi"/>
          <w:sz w:val="24"/>
          <w:szCs w:val="24"/>
        </w:rPr>
        <w:t xml:space="preserve"> to recall bias, as a single survey was used to analyze consumption over a </w:t>
      </w:r>
      <w:r w:rsidR="009C0B53" w:rsidRPr="00F314C1">
        <w:rPr>
          <w:rFonts w:asciiTheme="minorHAnsi" w:hAnsiTheme="minorHAnsi"/>
          <w:sz w:val="24"/>
          <w:szCs w:val="24"/>
        </w:rPr>
        <w:t>period of</w:t>
      </w:r>
      <w:r w:rsidR="0005449C" w:rsidRPr="00F314C1">
        <w:rPr>
          <w:rFonts w:asciiTheme="minorHAnsi" w:hAnsiTheme="minorHAnsi"/>
          <w:sz w:val="24"/>
          <w:szCs w:val="24"/>
        </w:rPr>
        <w:t xml:space="preserve"> </w:t>
      </w:r>
      <w:r w:rsidR="004875E5" w:rsidRPr="00F314C1">
        <w:rPr>
          <w:rFonts w:asciiTheme="minorHAnsi" w:hAnsiTheme="minorHAnsi"/>
          <w:sz w:val="24"/>
          <w:szCs w:val="24"/>
        </w:rPr>
        <w:t>12 months</w:t>
      </w:r>
      <w:r w:rsidR="003725E9" w:rsidRPr="00F314C1">
        <w:rPr>
          <w:rFonts w:asciiTheme="minorHAnsi" w:hAnsiTheme="minorHAnsi"/>
          <w:sz w:val="24"/>
          <w:szCs w:val="24"/>
        </w:rPr>
        <w:t>. Additionally, the surveys were administered at different times throughout the year</w:t>
      </w:r>
      <w:r w:rsidR="0079679E" w:rsidRPr="00F314C1">
        <w:rPr>
          <w:rFonts w:asciiTheme="minorHAnsi" w:hAnsiTheme="minorHAnsi"/>
          <w:sz w:val="24"/>
          <w:szCs w:val="24"/>
        </w:rPr>
        <w:t>,</w:t>
      </w:r>
      <w:r w:rsidR="003725E9" w:rsidRPr="00F314C1">
        <w:rPr>
          <w:rFonts w:asciiTheme="minorHAnsi" w:hAnsiTheme="minorHAnsi"/>
          <w:sz w:val="24"/>
          <w:szCs w:val="24"/>
        </w:rPr>
        <w:t xml:space="preserve"> which </w:t>
      </w:r>
      <w:r w:rsidR="009C0B53" w:rsidRPr="00F314C1">
        <w:rPr>
          <w:rFonts w:asciiTheme="minorHAnsi" w:hAnsiTheme="minorHAnsi"/>
          <w:sz w:val="24"/>
          <w:szCs w:val="24"/>
        </w:rPr>
        <w:t xml:space="preserve">may have </w:t>
      </w:r>
      <w:r w:rsidR="003725E9" w:rsidRPr="00F314C1">
        <w:rPr>
          <w:rFonts w:asciiTheme="minorHAnsi" w:hAnsiTheme="minorHAnsi"/>
          <w:sz w:val="24"/>
          <w:szCs w:val="24"/>
        </w:rPr>
        <w:t>impact</w:t>
      </w:r>
      <w:r w:rsidR="009C0B53" w:rsidRPr="00F314C1">
        <w:rPr>
          <w:rFonts w:asciiTheme="minorHAnsi" w:hAnsiTheme="minorHAnsi"/>
          <w:sz w:val="24"/>
          <w:szCs w:val="24"/>
        </w:rPr>
        <w:t>ed</w:t>
      </w:r>
      <w:r w:rsidR="003725E9" w:rsidRPr="00F314C1">
        <w:rPr>
          <w:rFonts w:asciiTheme="minorHAnsi" w:hAnsiTheme="minorHAnsi"/>
          <w:sz w:val="24"/>
          <w:szCs w:val="24"/>
        </w:rPr>
        <w:t xml:space="preserve"> reported consumption</w:t>
      </w:r>
      <w:r w:rsidR="0079679E" w:rsidRPr="00F314C1">
        <w:rPr>
          <w:rFonts w:asciiTheme="minorHAnsi" w:hAnsiTheme="minorHAnsi"/>
          <w:sz w:val="24"/>
          <w:szCs w:val="24"/>
        </w:rPr>
        <w:t xml:space="preserve"> between respondents</w:t>
      </w:r>
      <w:r w:rsidR="003725E9" w:rsidRPr="00F314C1">
        <w:rPr>
          <w:rFonts w:asciiTheme="minorHAnsi" w:hAnsiTheme="minorHAnsi"/>
          <w:sz w:val="24"/>
          <w:szCs w:val="24"/>
        </w:rPr>
        <w:t>.</w:t>
      </w:r>
      <w:r w:rsidR="0079679E" w:rsidRPr="00F314C1">
        <w:rPr>
          <w:rFonts w:asciiTheme="minorHAnsi" w:hAnsiTheme="minorHAnsi"/>
          <w:sz w:val="24"/>
          <w:szCs w:val="24"/>
        </w:rPr>
        <w:t xml:space="preserve"> </w:t>
      </w:r>
      <w:r w:rsidR="004875E5" w:rsidRPr="00F314C1">
        <w:rPr>
          <w:rFonts w:asciiTheme="minorHAnsi" w:hAnsiTheme="minorHAnsi"/>
          <w:sz w:val="24"/>
          <w:szCs w:val="24"/>
        </w:rPr>
        <w:t xml:space="preserve">Despite </w:t>
      </w:r>
      <w:r w:rsidR="009C0B53" w:rsidRPr="00F314C1">
        <w:rPr>
          <w:rFonts w:asciiTheme="minorHAnsi" w:hAnsiTheme="minorHAnsi"/>
          <w:sz w:val="24"/>
          <w:szCs w:val="24"/>
        </w:rPr>
        <w:t xml:space="preserve">the potential </w:t>
      </w:r>
      <w:r w:rsidR="004875E5" w:rsidRPr="00F314C1">
        <w:rPr>
          <w:rFonts w:asciiTheme="minorHAnsi" w:hAnsiTheme="minorHAnsi"/>
          <w:sz w:val="24"/>
          <w:szCs w:val="24"/>
        </w:rPr>
        <w:t>limitations, the data provide detailed information on the type and quantity of fish and seafood consumed by age and gender</w:t>
      </w:r>
      <w:r w:rsidR="009C0B53" w:rsidRPr="00F314C1">
        <w:rPr>
          <w:rFonts w:asciiTheme="minorHAnsi" w:hAnsiTheme="minorHAnsi"/>
          <w:sz w:val="24"/>
          <w:szCs w:val="24"/>
        </w:rPr>
        <w:t>,</w:t>
      </w:r>
      <w:r w:rsidR="00464657" w:rsidRPr="00F314C1">
        <w:rPr>
          <w:rFonts w:asciiTheme="minorHAnsi" w:hAnsiTheme="minorHAnsi"/>
          <w:sz w:val="24"/>
          <w:szCs w:val="24"/>
        </w:rPr>
        <w:t xml:space="preserve"> as well as </w:t>
      </w:r>
      <w:r w:rsidR="009C0B53" w:rsidRPr="00F314C1">
        <w:rPr>
          <w:rFonts w:asciiTheme="minorHAnsi" w:hAnsiTheme="minorHAnsi"/>
          <w:sz w:val="24"/>
          <w:szCs w:val="24"/>
        </w:rPr>
        <w:t xml:space="preserve">detailed </w:t>
      </w:r>
      <w:r w:rsidR="00464657" w:rsidRPr="00F314C1">
        <w:rPr>
          <w:rFonts w:asciiTheme="minorHAnsi" w:hAnsiTheme="minorHAnsi"/>
          <w:sz w:val="24"/>
          <w:szCs w:val="24"/>
        </w:rPr>
        <w:t>information on procurement, food preparation</w:t>
      </w:r>
      <w:r w:rsidR="009C0B53" w:rsidRPr="00F314C1">
        <w:rPr>
          <w:rFonts w:asciiTheme="minorHAnsi" w:hAnsiTheme="minorHAnsi"/>
          <w:sz w:val="24"/>
          <w:szCs w:val="24"/>
        </w:rPr>
        <w:t>,</w:t>
      </w:r>
      <w:r w:rsidR="00464657" w:rsidRPr="00F314C1">
        <w:rPr>
          <w:rFonts w:asciiTheme="minorHAnsi" w:hAnsiTheme="minorHAnsi"/>
          <w:sz w:val="24"/>
          <w:szCs w:val="24"/>
        </w:rPr>
        <w:t xml:space="preserve"> and </w:t>
      </w:r>
      <w:r w:rsidR="0005449C" w:rsidRPr="00F314C1">
        <w:rPr>
          <w:rFonts w:asciiTheme="minorHAnsi" w:hAnsiTheme="minorHAnsi"/>
          <w:sz w:val="24"/>
          <w:szCs w:val="24"/>
        </w:rPr>
        <w:t xml:space="preserve">seasonal </w:t>
      </w:r>
      <w:r w:rsidR="00464657" w:rsidRPr="00F314C1">
        <w:rPr>
          <w:rFonts w:asciiTheme="minorHAnsi" w:hAnsiTheme="minorHAnsi"/>
          <w:sz w:val="24"/>
          <w:szCs w:val="24"/>
        </w:rPr>
        <w:t>consumption behaviors</w:t>
      </w:r>
      <w:r w:rsidR="004875E5" w:rsidRPr="00F314C1">
        <w:rPr>
          <w:rFonts w:asciiTheme="minorHAnsi" w:hAnsiTheme="minorHAnsi"/>
          <w:sz w:val="24"/>
          <w:szCs w:val="24"/>
        </w:rPr>
        <w:t>.</w:t>
      </w:r>
      <w:r w:rsidR="00464657" w:rsidRPr="00F314C1">
        <w:rPr>
          <w:rFonts w:asciiTheme="minorHAnsi" w:hAnsiTheme="minorHAnsi"/>
          <w:sz w:val="24"/>
          <w:szCs w:val="24"/>
        </w:rPr>
        <w:t xml:space="preserve"> The study</w:t>
      </w:r>
      <w:r w:rsidR="004875E5" w:rsidRPr="00F314C1">
        <w:rPr>
          <w:rFonts w:asciiTheme="minorHAnsi" w:hAnsiTheme="minorHAnsi"/>
          <w:sz w:val="24"/>
          <w:szCs w:val="24"/>
        </w:rPr>
        <w:t xml:space="preserve"> is likely representative of fish consumpti</w:t>
      </w:r>
      <w:r w:rsidR="00464657" w:rsidRPr="00F314C1">
        <w:rPr>
          <w:rFonts w:asciiTheme="minorHAnsi" w:hAnsiTheme="minorHAnsi"/>
          <w:sz w:val="24"/>
          <w:szCs w:val="24"/>
        </w:rPr>
        <w:t>on research</w:t>
      </w:r>
      <w:r w:rsidR="004875E5" w:rsidRPr="00F314C1">
        <w:rPr>
          <w:rFonts w:asciiTheme="minorHAnsi" w:hAnsiTheme="minorHAnsi"/>
          <w:sz w:val="24"/>
          <w:szCs w:val="24"/>
        </w:rPr>
        <w:t xml:space="preserve"> that </w:t>
      </w:r>
      <w:r w:rsidR="009C0B53" w:rsidRPr="00F314C1">
        <w:rPr>
          <w:rFonts w:asciiTheme="minorHAnsi" w:hAnsiTheme="minorHAnsi"/>
          <w:sz w:val="24"/>
          <w:szCs w:val="24"/>
        </w:rPr>
        <w:t xml:space="preserve">can </w:t>
      </w:r>
      <w:r w:rsidR="004875E5" w:rsidRPr="00F314C1">
        <w:rPr>
          <w:rFonts w:asciiTheme="minorHAnsi" w:hAnsiTheme="minorHAnsi"/>
          <w:sz w:val="24"/>
          <w:szCs w:val="24"/>
        </w:rPr>
        <w:t>be executed at a local</w:t>
      </w:r>
      <w:r w:rsidR="00464657" w:rsidRPr="00F314C1">
        <w:rPr>
          <w:rFonts w:asciiTheme="minorHAnsi" w:hAnsiTheme="minorHAnsi"/>
          <w:sz w:val="24"/>
          <w:szCs w:val="24"/>
        </w:rPr>
        <w:t xml:space="preserve"> government</w:t>
      </w:r>
      <w:r w:rsidR="004875E5" w:rsidRPr="00F314C1">
        <w:rPr>
          <w:rFonts w:asciiTheme="minorHAnsi" w:hAnsiTheme="minorHAnsi"/>
          <w:sz w:val="24"/>
          <w:szCs w:val="24"/>
        </w:rPr>
        <w:t xml:space="preserve"> scale</w:t>
      </w:r>
      <w:r w:rsidR="00464657" w:rsidRPr="00F314C1">
        <w:rPr>
          <w:rFonts w:asciiTheme="minorHAnsi" w:hAnsiTheme="minorHAnsi"/>
          <w:sz w:val="24"/>
          <w:szCs w:val="24"/>
        </w:rPr>
        <w:t>,</w:t>
      </w:r>
      <w:r w:rsidR="004875E5" w:rsidRPr="00F314C1">
        <w:rPr>
          <w:rFonts w:asciiTheme="minorHAnsi" w:hAnsiTheme="minorHAnsi"/>
          <w:sz w:val="24"/>
          <w:szCs w:val="24"/>
        </w:rPr>
        <w:t xml:space="preserve"> </w:t>
      </w:r>
      <w:r w:rsidR="004875E5" w:rsidRPr="00F314C1">
        <w:rPr>
          <w:rFonts w:asciiTheme="minorHAnsi" w:hAnsiTheme="minorHAnsi"/>
          <w:sz w:val="24"/>
          <w:szCs w:val="24"/>
        </w:rPr>
        <w:lastRenderedPageBreak/>
        <w:t>given the fiscal and human resou</w:t>
      </w:r>
      <w:r w:rsidR="007D7FAC" w:rsidRPr="00F314C1">
        <w:rPr>
          <w:rFonts w:asciiTheme="minorHAnsi" w:hAnsiTheme="minorHAnsi"/>
          <w:sz w:val="24"/>
          <w:szCs w:val="24"/>
        </w:rPr>
        <w:t xml:space="preserve">rce constraints experienced by </w:t>
      </w:r>
      <w:r w:rsidR="00464657" w:rsidRPr="00F314C1">
        <w:rPr>
          <w:rFonts w:asciiTheme="minorHAnsi" w:hAnsiTheme="minorHAnsi"/>
          <w:sz w:val="24"/>
          <w:szCs w:val="24"/>
        </w:rPr>
        <w:t>many municipal health and environmental offices.</w:t>
      </w:r>
    </w:p>
    <w:p w14:paraId="64988041" w14:textId="77777777" w:rsidR="00B06122" w:rsidRPr="00564F7E" w:rsidRDefault="00B06122" w:rsidP="00C379D4">
      <w:pPr>
        <w:pStyle w:val="Heading2"/>
        <w:spacing w:before="0" w:after="60"/>
        <w:jc w:val="both"/>
        <w:rPr>
          <w:szCs w:val="24"/>
        </w:rPr>
      </w:pPr>
      <w:bookmarkStart w:id="53" w:name="_Toc390121669"/>
      <w:r w:rsidRPr="00564F7E">
        <w:rPr>
          <w:szCs w:val="24"/>
        </w:rPr>
        <w:t>Amchitka Island, Alaska, Biological Monitoring Report 2011 Sampling Results</w:t>
      </w:r>
      <w:bookmarkEnd w:id="53"/>
    </w:p>
    <w:p w14:paraId="64988043" w14:textId="7212A9D3" w:rsidR="00B06122" w:rsidRPr="00F314C1" w:rsidRDefault="00DD4E1D" w:rsidP="00C379D4">
      <w:pPr>
        <w:pStyle w:val="Heading3"/>
        <w:spacing w:before="0" w:after="60"/>
        <w:jc w:val="both"/>
        <w:rPr>
          <w:sz w:val="24"/>
          <w:szCs w:val="24"/>
        </w:rPr>
      </w:pPr>
      <w:bookmarkStart w:id="54" w:name="_Toc390121670"/>
      <w:r w:rsidRPr="00F314C1">
        <w:rPr>
          <w:sz w:val="24"/>
          <w:szCs w:val="24"/>
        </w:rPr>
        <w:t xml:space="preserve">U.S. </w:t>
      </w:r>
      <w:r w:rsidR="00B06122" w:rsidRPr="00F314C1">
        <w:rPr>
          <w:sz w:val="24"/>
          <w:szCs w:val="24"/>
        </w:rPr>
        <w:t>Department of Energy</w:t>
      </w:r>
      <w:bookmarkEnd w:id="54"/>
      <w:r w:rsidR="00284FB9" w:rsidRPr="00F314C1">
        <w:rPr>
          <w:sz w:val="24"/>
          <w:szCs w:val="24"/>
        </w:rPr>
        <w:t xml:space="preserve">, </w:t>
      </w:r>
      <w:bookmarkStart w:id="55" w:name="_Toc390121671"/>
      <w:r w:rsidRPr="00F314C1">
        <w:rPr>
          <w:sz w:val="24"/>
          <w:szCs w:val="24"/>
        </w:rPr>
        <w:t xml:space="preserve">September </w:t>
      </w:r>
      <w:r w:rsidR="00B06122" w:rsidRPr="00F314C1">
        <w:rPr>
          <w:sz w:val="24"/>
          <w:szCs w:val="24"/>
        </w:rPr>
        <w:t>2013</w:t>
      </w:r>
      <w:bookmarkEnd w:id="55"/>
    </w:p>
    <w:p w14:paraId="64988044" w14:textId="77777777" w:rsidR="00DD4E1D" w:rsidRPr="00F314C1" w:rsidRDefault="00DD4E1D" w:rsidP="00C379D4">
      <w:pPr>
        <w:pStyle w:val="Heading4"/>
        <w:keepNext/>
        <w:jc w:val="both"/>
        <w:rPr>
          <w:sz w:val="24"/>
          <w:szCs w:val="24"/>
        </w:rPr>
      </w:pPr>
      <w:r w:rsidRPr="00F314C1">
        <w:rPr>
          <w:sz w:val="24"/>
          <w:szCs w:val="24"/>
        </w:rPr>
        <w:t xml:space="preserve">General Information </w:t>
      </w:r>
    </w:p>
    <w:p w14:paraId="64988045" w14:textId="7A945595" w:rsidR="00F902B6" w:rsidRPr="00F314C1" w:rsidRDefault="007D7FAC" w:rsidP="00C379D4">
      <w:pPr>
        <w:keepNext/>
        <w:autoSpaceDE w:val="0"/>
        <w:autoSpaceDN w:val="0"/>
        <w:adjustRightInd w:val="0"/>
        <w:spacing w:after="0"/>
        <w:jc w:val="both"/>
        <w:rPr>
          <w:rFonts w:asciiTheme="minorHAnsi" w:hAnsiTheme="minorHAnsi"/>
          <w:sz w:val="24"/>
          <w:szCs w:val="24"/>
        </w:rPr>
      </w:pPr>
      <w:r w:rsidRPr="00F314C1">
        <w:rPr>
          <w:rFonts w:asciiTheme="minorHAnsi" w:hAnsiTheme="minorHAnsi"/>
          <w:sz w:val="24"/>
          <w:szCs w:val="24"/>
        </w:rPr>
        <w:t>T</w:t>
      </w:r>
      <w:r w:rsidR="00082FE9" w:rsidRPr="00F314C1">
        <w:rPr>
          <w:rFonts w:asciiTheme="minorHAnsi" w:hAnsiTheme="minorHAnsi"/>
          <w:sz w:val="24"/>
          <w:szCs w:val="24"/>
        </w:rPr>
        <w:t xml:space="preserve">he </w:t>
      </w:r>
      <w:r w:rsidR="00B06122" w:rsidRPr="00F314C1">
        <w:rPr>
          <w:rFonts w:asciiTheme="minorHAnsi" w:hAnsiTheme="minorHAnsi"/>
          <w:sz w:val="24"/>
          <w:szCs w:val="24"/>
        </w:rPr>
        <w:t>Long-Ter</w:t>
      </w:r>
      <w:r w:rsidR="00082FE9" w:rsidRPr="00F314C1">
        <w:rPr>
          <w:rFonts w:asciiTheme="minorHAnsi" w:hAnsiTheme="minorHAnsi"/>
          <w:sz w:val="24"/>
          <w:szCs w:val="24"/>
        </w:rPr>
        <w:t xml:space="preserve">m Surveillance and Maintenance </w:t>
      </w:r>
      <w:r w:rsidR="00B06122" w:rsidRPr="00F314C1">
        <w:rPr>
          <w:rFonts w:asciiTheme="minorHAnsi" w:hAnsiTheme="minorHAnsi"/>
          <w:sz w:val="24"/>
          <w:szCs w:val="24"/>
        </w:rPr>
        <w:t>Plan for the U.S. Department of</w:t>
      </w:r>
      <w:r w:rsidR="00771D4D" w:rsidRPr="00F314C1">
        <w:rPr>
          <w:rFonts w:asciiTheme="minorHAnsi" w:hAnsiTheme="minorHAnsi"/>
          <w:sz w:val="24"/>
          <w:szCs w:val="24"/>
        </w:rPr>
        <w:t xml:space="preserve"> </w:t>
      </w:r>
      <w:r w:rsidR="00B06122" w:rsidRPr="00F314C1">
        <w:rPr>
          <w:rFonts w:asciiTheme="minorHAnsi" w:hAnsiTheme="minorHAnsi"/>
          <w:sz w:val="24"/>
          <w:szCs w:val="24"/>
        </w:rPr>
        <w:t>Energy (D</w:t>
      </w:r>
      <w:r w:rsidR="00082FE9" w:rsidRPr="00F314C1">
        <w:rPr>
          <w:rFonts w:asciiTheme="minorHAnsi" w:hAnsiTheme="minorHAnsi"/>
          <w:sz w:val="24"/>
          <w:szCs w:val="24"/>
        </w:rPr>
        <w:t>O</w:t>
      </w:r>
      <w:r w:rsidRPr="00F314C1">
        <w:rPr>
          <w:rFonts w:asciiTheme="minorHAnsi" w:hAnsiTheme="minorHAnsi"/>
          <w:sz w:val="24"/>
          <w:szCs w:val="24"/>
        </w:rPr>
        <w:t xml:space="preserve">E) Office of Legacy Management is an </w:t>
      </w:r>
      <w:r w:rsidR="00082FE9" w:rsidRPr="00F314C1">
        <w:rPr>
          <w:rFonts w:asciiTheme="minorHAnsi" w:hAnsiTheme="minorHAnsi"/>
          <w:sz w:val="24"/>
          <w:szCs w:val="24"/>
        </w:rPr>
        <w:t xml:space="preserve">ongoing environmental monitoring </w:t>
      </w:r>
      <w:r w:rsidRPr="00F314C1">
        <w:rPr>
          <w:rFonts w:asciiTheme="minorHAnsi" w:hAnsiTheme="minorHAnsi"/>
          <w:sz w:val="24"/>
          <w:szCs w:val="24"/>
        </w:rPr>
        <w:t xml:space="preserve">effort </w:t>
      </w:r>
      <w:r w:rsidR="00082FE9" w:rsidRPr="00F314C1">
        <w:rPr>
          <w:rFonts w:asciiTheme="minorHAnsi" w:hAnsiTheme="minorHAnsi"/>
          <w:sz w:val="24"/>
          <w:szCs w:val="24"/>
        </w:rPr>
        <w:t xml:space="preserve">that has taken place on Amchitka Island, Alaska since before 1965, </w:t>
      </w:r>
      <w:r w:rsidRPr="00F314C1">
        <w:rPr>
          <w:rFonts w:asciiTheme="minorHAnsi" w:hAnsiTheme="minorHAnsi"/>
          <w:sz w:val="24"/>
          <w:szCs w:val="24"/>
        </w:rPr>
        <w:t>in an effort</w:t>
      </w:r>
      <w:r w:rsidR="00771D4D" w:rsidRPr="00F314C1">
        <w:rPr>
          <w:rFonts w:asciiTheme="minorHAnsi" w:hAnsiTheme="minorHAnsi"/>
          <w:sz w:val="24"/>
          <w:szCs w:val="24"/>
        </w:rPr>
        <w:t xml:space="preserve"> to mitigate harmful effects to </w:t>
      </w:r>
      <w:r w:rsidR="00103F2B" w:rsidRPr="00F314C1">
        <w:rPr>
          <w:rFonts w:asciiTheme="minorHAnsi" w:hAnsiTheme="minorHAnsi"/>
          <w:sz w:val="24"/>
          <w:szCs w:val="24"/>
        </w:rPr>
        <w:t>hum</w:t>
      </w:r>
      <w:r w:rsidR="0039511F" w:rsidRPr="00F314C1">
        <w:rPr>
          <w:rFonts w:asciiTheme="minorHAnsi" w:hAnsiTheme="minorHAnsi"/>
          <w:sz w:val="24"/>
          <w:szCs w:val="24"/>
        </w:rPr>
        <w:t>a</w:t>
      </w:r>
      <w:r w:rsidR="00103F2B" w:rsidRPr="00F314C1">
        <w:rPr>
          <w:rFonts w:asciiTheme="minorHAnsi" w:hAnsiTheme="minorHAnsi"/>
          <w:sz w:val="24"/>
          <w:szCs w:val="24"/>
        </w:rPr>
        <w:t xml:space="preserve">n </w:t>
      </w:r>
      <w:r w:rsidR="00771D4D" w:rsidRPr="00F314C1">
        <w:rPr>
          <w:rFonts w:asciiTheme="minorHAnsi" w:hAnsiTheme="minorHAnsi"/>
          <w:sz w:val="24"/>
          <w:szCs w:val="24"/>
        </w:rPr>
        <w:t xml:space="preserve">health </w:t>
      </w:r>
      <w:r w:rsidR="0039511F" w:rsidRPr="00F314C1">
        <w:rPr>
          <w:rFonts w:asciiTheme="minorHAnsi" w:hAnsiTheme="minorHAnsi"/>
          <w:sz w:val="24"/>
          <w:szCs w:val="24"/>
        </w:rPr>
        <w:t>and</w:t>
      </w:r>
      <w:r w:rsidR="00771D4D" w:rsidRPr="00F314C1">
        <w:rPr>
          <w:rFonts w:asciiTheme="minorHAnsi" w:hAnsiTheme="minorHAnsi"/>
          <w:sz w:val="24"/>
          <w:szCs w:val="24"/>
        </w:rPr>
        <w:t xml:space="preserve"> the environment from </w:t>
      </w:r>
      <w:r w:rsidR="00B06122" w:rsidRPr="00F314C1">
        <w:rPr>
          <w:rFonts w:asciiTheme="minorHAnsi" w:hAnsiTheme="minorHAnsi"/>
          <w:sz w:val="24"/>
          <w:szCs w:val="24"/>
        </w:rPr>
        <w:t>three nuclear test</w:t>
      </w:r>
      <w:r w:rsidR="00082FE9" w:rsidRPr="00F314C1">
        <w:rPr>
          <w:rFonts w:asciiTheme="minorHAnsi" w:hAnsiTheme="minorHAnsi"/>
          <w:sz w:val="24"/>
          <w:szCs w:val="24"/>
        </w:rPr>
        <w:t xml:space="preserve"> </w:t>
      </w:r>
      <w:r w:rsidR="00B06122" w:rsidRPr="00F314C1">
        <w:rPr>
          <w:rFonts w:asciiTheme="minorHAnsi" w:hAnsiTheme="minorHAnsi"/>
          <w:sz w:val="24"/>
          <w:szCs w:val="24"/>
        </w:rPr>
        <w:t>sites located on</w:t>
      </w:r>
      <w:r w:rsidR="00082FE9" w:rsidRPr="00F314C1">
        <w:rPr>
          <w:rFonts w:asciiTheme="minorHAnsi" w:hAnsiTheme="minorHAnsi"/>
          <w:sz w:val="24"/>
          <w:szCs w:val="24"/>
        </w:rPr>
        <w:t xml:space="preserve"> the island</w:t>
      </w:r>
      <w:r w:rsidR="00B06122" w:rsidRPr="00F314C1">
        <w:rPr>
          <w:rFonts w:asciiTheme="minorHAnsi" w:hAnsiTheme="minorHAnsi"/>
          <w:sz w:val="24"/>
          <w:szCs w:val="24"/>
        </w:rPr>
        <w:t>.</w:t>
      </w:r>
      <w:r w:rsidR="00771D4D" w:rsidRPr="00F314C1">
        <w:rPr>
          <w:rFonts w:asciiTheme="minorHAnsi" w:hAnsiTheme="minorHAnsi"/>
          <w:sz w:val="24"/>
          <w:szCs w:val="24"/>
        </w:rPr>
        <w:t xml:space="preserve"> </w:t>
      </w:r>
      <w:r w:rsidR="00082FE9" w:rsidRPr="00F314C1">
        <w:rPr>
          <w:rFonts w:asciiTheme="minorHAnsi" w:hAnsiTheme="minorHAnsi"/>
          <w:sz w:val="24"/>
          <w:szCs w:val="24"/>
        </w:rPr>
        <w:t>The most recent monitoring report describes data collected from</w:t>
      </w:r>
      <w:r w:rsidR="00B06122" w:rsidRPr="00F314C1">
        <w:rPr>
          <w:rFonts w:asciiTheme="minorHAnsi" w:hAnsiTheme="minorHAnsi"/>
          <w:sz w:val="24"/>
          <w:szCs w:val="24"/>
        </w:rPr>
        <w:t xml:space="preserve"> biological and seawater samples from the marine and terrestrial environment of Amchitka Island </w:t>
      </w:r>
      <w:r w:rsidR="00771D4D" w:rsidRPr="00F314C1">
        <w:rPr>
          <w:rFonts w:asciiTheme="minorHAnsi" w:hAnsiTheme="minorHAnsi"/>
          <w:sz w:val="24"/>
          <w:szCs w:val="24"/>
        </w:rPr>
        <w:t>(</w:t>
      </w:r>
      <w:r w:rsidR="00B06122" w:rsidRPr="00F314C1">
        <w:rPr>
          <w:rFonts w:asciiTheme="minorHAnsi" w:hAnsiTheme="minorHAnsi"/>
          <w:sz w:val="24"/>
          <w:szCs w:val="24"/>
        </w:rPr>
        <w:t>adjacent to the three detonation sites</w:t>
      </w:r>
      <w:r w:rsidR="00771D4D" w:rsidRPr="00F314C1">
        <w:rPr>
          <w:rFonts w:asciiTheme="minorHAnsi" w:hAnsiTheme="minorHAnsi"/>
          <w:sz w:val="24"/>
          <w:szCs w:val="24"/>
        </w:rPr>
        <w:t>)</w:t>
      </w:r>
      <w:r w:rsidR="00B06122" w:rsidRPr="00F314C1">
        <w:rPr>
          <w:rFonts w:asciiTheme="minorHAnsi" w:hAnsiTheme="minorHAnsi"/>
          <w:sz w:val="24"/>
          <w:szCs w:val="24"/>
        </w:rPr>
        <w:t xml:space="preserve"> and at a background site, Adak Island, 180 miles to the east.</w:t>
      </w:r>
    </w:p>
    <w:p w14:paraId="64988046" w14:textId="36079174" w:rsidR="00B06122" w:rsidRPr="00F314C1" w:rsidRDefault="00B06122" w:rsidP="00C379D4">
      <w:pPr>
        <w:autoSpaceDE w:val="0"/>
        <w:autoSpaceDN w:val="0"/>
        <w:adjustRightInd w:val="0"/>
        <w:spacing w:after="0"/>
        <w:jc w:val="both"/>
        <w:rPr>
          <w:rFonts w:asciiTheme="minorHAnsi" w:hAnsiTheme="minorHAnsi"/>
          <w:sz w:val="24"/>
          <w:szCs w:val="24"/>
        </w:rPr>
      </w:pPr>
      <w:r w:rsidRPr="00F314C1">
        <w:rPr>
          <w:rFonts w:asciiTheme="minorHAnsi" w:hAnsiTheme="minorHAnsi"/>
          <w:sz w:val="24"/>
          <w:szCs w:val="24"/>
        </w:rPr>
        <w:t xml:space="preserve">The first </w:t>
      </w:r>
      <w:r w:rsidR="00771D4D" w:rsidRPr="00F314C1">
        <w:rPr>
          <w:rFonts w:asciiTheme="minorHAnsi" w:hAnsiTheme="minorHAnsi"/>
          <w:sz w:val="24"/>
          <w:szCs w:val="24"/>
        </w:rPr>
        <w:t xml:space="preserve">stated </w:t>
      </w:r>
      <w:r w:rsidRPr="00F314C1">
        <w:rPr>
          <w:rFonts w:asciiTheme="minorHAnsi" w:hAnsiTheme="minorHAnsi"/>
          <w:sz w:val="24"/>
          <w:szCs w:val="24"/>
        </w:rPr>
        <w:t xml:space="preserve">objective </w:t>
      </w:r>
      <w:r w:rsidR="00082FE9" w:rsidRPr="00F314C1">
        <w:rPr>
          <w:rFonts w:asciiTheme="minorHAnsi" w:hAnsiTheme="minorHAnsi"/>
          <w:sz w:val="24"/>
          <w:szCs w:val="24"/>
        </w:rPr>
        <w:t xml:space="preserve">of the 2011 sampling effort </w:t>
      </w:r>
      <w:r w:rsidR="00103F2B" w:rsidRPr="00F314C1">
        <w:rPr>
          <w:rFonts w:asciiTheme="minorHAnsi" w:hAnsiTheme="minorHAnsi"/>
          <w:sz w:val="24"/>
          <w:szCs w:val="24"/>
        </w:rPr>
        <w:t xml:space="preserve">was to collect </w:t>
      </w:r>
      <w:r w:rsidR="0039511F" w:rsidRPr="00F314C1">
        <w:rPr>
          <w:rFonts w:asciiTheme="minorHAnsi" w:hAnsiTheme="minorHAnsi"/>
          <w:sz w:val="24"/>
          <w:szCs w:val="24"/>
        </w:rPr>
        <w:t xml:space="preserve">and analyze </w:t>
      </w:r>
      <w:r w:rsidRPr="00F314C1">
        <w:rPr>
          <w:rFonts w:asciiTheme="minorHAnsi" w:hAnsiTheme="minorHAnsi"/>
          <w:sz w:val="24"/>
          <w:szCs w:val="24"/>
        </w:rPr>
        <w:t>marine flora and fauna, lichen, soil, and marine</w:t>
      </w:r>
      <w:r w:rsidR="00082FE9" w:rsidRPr="00F314C1">
        <w:rPr>
          <w:rFonts w:asciiTheme="minorHAnsi" w:hAnsiTheme="minorHAnsi"/>
          <w:sz w:val="24"/>
          <w:szCs w:val="24"/>
        </w:rPr>
        <w:t xml:space="preserve"> </w:t>
      </w:r>
      <w:r w:rsidRPr="00F314C1">
        <w:rPr>
          <w:rFonts w:asciiTheme="minorHAnsi" w:hAnsiTheme="minorHAnsi"/>
          <w:sz w:val="24"/>
          <w:szCs w:val="24"/>
        </w:rPr>
        <w:t>sediment</w:t>
      </w:r>
      <w:r w:rsidR="00103F2B" w:rsidRPr="00F314C1">
        <w:rPr>
          <w:rFonts w:asciiTheme="minorHAnsi" w:hAnsiTheme="minorHAnsi"/>
          <w:sz w:val="24"/>
          <w:szCs w:val="24"/>
        </w:rPr>
        <w:t>s</w:t>
      </w:r>
      <w:r w:rsidRPr="00F314C1">
        <w:rPr>
          <w:rFonts w:asciiTheme="minorHAnsi" w:hAnsiTheme="minorHAnsi"/>
          <w:sz w:val="24"/>
          <w:szCs w:val="24"/>
        </w:rPr>
        <w:t xml:space="preserve"> for</w:t>
      </w:r>
      <w:r w:rsidR="006B228D" w:rsidRPr="00F314C1">
        <w:rPr>
          <w:rFonts w:asciiTheme="minorHAnsi" w:hAnsiTheme="minorHAnsi"/>
          <w:sz w:val="24"/>
          <w:szCs w:val="24"/>
        </w:rPr>
        <w:t xml:space="preserve"> nuclear</w:t>
      </w:r>
      <w:r w:rsidRPr="00F314C1">
        <w:rPr>
          <w:rFonts w:asciiTheme="minorHAnsi" w:hAnsiTheme="minorHAnsi"/>
          <w:sz w:val="24"/>
          <w:szCs w:val="24"/>
        </w:rPr>
        <w:t xml:space="preserve"> test-related radionuclides to determine if subsistence</w:t>
      </w:r>
      <w:r w:rsidR="00082FE9" w:rsidRPr="00F314C1">
        <w:rPr>
          <w:rFonts w:asciiTheme="minorHAnsi" w:hAnsiTheme="minorHAnsi"/>
          <w:sz w:val="24"/>
          <w:szCs w:val="24"/>
        </w:rPr>
        <w:t xml:space="preserve"> </w:t>
      </w:r>
      <w:r w:rsidRPr="00F314C1">
        <w:rPr>
          <w:rFonts w:asciiTheme="minorHAnsi" w:hAnsiTheme="minorHAnsi"/>
          <w:sz w:val="24"/>
          <w:szCs w:val="24"/>
        </w:rPr>
        <w:t>and</w:t>
      </w:r>
      <w:r w:rsidR="00082FE9" w:rsidRPr="00F314C1">
        <w:rPr>
          <w:rFonts w:asciiTheme="minorHAnsi" w:hAnsiTheme="minorHAnsi"/>
          <w:sz w:val="24"/>
          <w:szCs w:val="24"/>
        </w:rPr>
        <w:t xml:space="preserve"> </w:t>
      </w:r>
      <w:r w:rsidRPr="00F314C1">
        <w:rPr>
          <w:rFonts w:asciiTheme="minorHAnsi" w:hAnsiTheme="minorHAnsi"/>
          <w:sz w:val="24"/>
          <w:szCs w:val="24"/>
        </w:rPr>
        <w:t xml:space="preserve">commercial-catch seafood </w:t>
      </w:r>
      <w:r w:rsidR="00082FE9" w:rsidRPr="00F314C1">
        <w:rPr>
          <w:rFonts w:asciiTheme="minorHAnsi" w:hAnsiTheme="minorHAnsi"/>
          <w:sz w:val="24"/>
          <w:szCs w:val="24"/>
        </w:rPr>
        <w:t xml:space="preserve">in the study area </w:t>
      </w:r>
      <w:r w:rsidRPr="00F314C1">
        <w:rPr>
          <w:rFonts w:asciiTheme="minorHAnsi" w:hAnsiTheme="minorHAnsi"/>
          <w:sz w:val="24"/>
          <w:szCs w:val="24"/>
        </w:rPr>
        <w:t>is safe to eat.</w:t>
      </w:r>
      <w:r w:rsidR="00082FE9" w:rsidRPr="00F314C1">
        <w:rPr>
          <w:rFonts w:asciiTheme="minorHAnsi" w:hAnsiTheme="minorHAnsi"/>
          <w:sz w:val="24"/>
          <w:szCs w:val="24"/>
        </w:rPr>
        <w:t xml:space="preserve"> </w:t>
      </w:r>
      <w:r w:rsidR="00B801EB" w:rsidRPr="00F314C1">
        <w:rPr>
          <w:rFonts w:asciiTheme="minorHAnsi" w:hAnsiTheme="minorHAnsi"/>
          <w:sz w:val="24"/>
          <w:szCs w:val="24"/>
        </w:rPr>
        <w:t>In order to assess exposure, consumption estimates were derived using</w:t>
      </w:r>
      <w:r w:rsidR="00771D4D" w:rsidRPr="00F314C1">
        <w:rPr>
          <w:rFonts w:asciiTheme="minorHAnsi" w:hAnsiTheme="minorHAnsi"/>
          <w:sz w:val="24"/>
          <w:szCs w:val="24"/>
        </w:rPr>
        <w:t xml:space="preserve"> diet intake surveys previously conducted at </w:t>
      </w:r>
      <w:r w:rsidR="00650AE8" w:rsidRPr="00F314C1">
        <w:rPr>
          <w:rFonts w:asciiTheme="minorHAnsi" w:hAnsiTheme="minorHAnsi"/>
          <w:sz w:val="24"/>
          <w:szCs w:val="24"/>
        </w:rPr>
        <w:t>three</w:t>
      </w:r>
      <w:r w:rsidR="00771D4D" w:rsidRPr="00F314C1">
        <w:rPr>
          <w:rFonts w:asciiTheme="minorHAnsi" w:hAnsiTheme="minorHAnsi"/>
          <w:sz w:val="24"/>
          <w:szCs w:val="24"/>
        </w:rPr>
        <w:t xml:space="preserve"> Alaska Native Villages </w:t>
      </w:r>
      <w:r w:rsidR="00103F2B" w:rsidRPr="00F314C1">
        <w:rPr>
          <w:rFonts w:asciiTheme="minorHAnsi" w:hAnsiTheme="minorHAnsi"/>
          <w:sz w:val="24"/>
          <w:szCs w:val="24"/>
        </w:rPr>
        <w:t>located in the Aleutian Islands:</w:t>
      </w:r>
      <w:r w:rsidR="00771D4D" w:rsidRPr="00F314C1">
        <w:rPr>
          <w:rFonts w:asciiTheme="minorHAnsi" w:hAnsiTheme="minorHAnsi"/>
          <w:sz w:val="24"/>
          <w:szCs w:val="24"/>
        </w:rPr>
        <w:t xml:space="preserve">, Atka, </w:t>
      </w:r>
      <w:proofErr w:type="spellStart"/>
      <w:r w:rsidR="00771D4D" w:rsidRPr="00F314C1">
        <w:rPr>
          <w:rFonts w:asciiTheme="minorHAnsi" w:hAnsiTheme="minorHAnsi"/>
          <w:sz w:val="24"/>
          <w:szCs w:val="24"/>
        </w:rPr>
        <w:t>Nikolski</w:t>
      </w:r>
      <w:proofErr w:type="spellEnd"/>
      <w:r w:rsidR="00771D4D" w:rsidRPr="00F314C1">
        <w:rPr>
          <w:rFonts w:asciiTheme="minorHAnsi" w:hAnsiTheme="minorHAnsi"/>
          <w:sz w:val="24"/>
          <w:szCs w:val="24"/>
        </w:rPr>
        <w:t>, and Unalaska</w:t>
      </w:r>
      <w:r w:rsidR="00650AE8" w:rsidRPr="00F314C1">
        <w:rPr>
          <w:rFonts w:asciiTheme="minorHAnsi" w:hAnsiTheme="minorHAnsi"/>
          <w:sz w:val="24"/>
          <w:szCs w:val="24"/>
        </w:rPr>
        <w:t>; and St. Paul Island</w:t>
      </w:r>
      <w:r w:rsidR="00771D4D" w:rsidRPr="00F314C1">
        <w:rPr>
          <w:rFonts w:asciiTheme="minorHAnsi" w:hAnsiTheme="minorHAnsi"/>
          <w:sz w:val="24"/>
          <w:szCs w:val="24"/>
        </w:rPr>
        <w:t xml:space="preserve"> (Bartell et al. 1999; Hamrick et al. 2003; Hamrick and Smith</w:t>
      </w:r>
      <w:r w:rsidR="001D0880">
        <w:rPr>
          <w:rFonts w:asciiTheme="minorHAnsi" w:hAnsiTheme="minorHAnsi"/>
          <w:sz w:val="24"/>
          <w:szCs w:val="24"/>
        </w:rPr>
        <w:t>,</w:t>
      </w:r>
      <w:r w:rsidR="00771D4D" w:rsidRPr="00F314C1">
        <w:rPr>
          <w:rFonts w:asciiTheme="minorHAnsi" w:hAnsiTheme="minorHAnsi"/>
          <w:sz w:val="24"/>
          <w:szCs w:val="24"/>
        </w:rPr>
        <w:t xml:space="preserve"> 2003)</w:t>
      </w:r>
      <w:r w:rsidR="00103F2B" w:rsidRPr="00F314C1">
        <w:rPr>
          <w:rFonts w:asciiTheme="minorHAnsi" w:hAnsiTheme="minorHAnsi"/>
          <w:sz w:val="24"/>
          <w:szCs w:val="24"/>
        </w:rPr>
        <w:t>. DOE compiled th</w:t>
      </w:r>
      <w:r w:rsidR="0039511F" w:rsidRPr="00F314C1">
        <w:rPr>
          <w:rFonts w:asciiTheme="minorHAnsi" w:hAnsiTheme="minorHAnsi"/>
          <w:sz w:val="24"/>
          <w:szCs w:val="24"/>
        </w:rPr>
        <w:t>e</w:t>
      </w:r>
      <w:r w:rsidR="00103F2B" w:rsidRPr="00F314C1">
        <w:rPr>
          <w:rFonts w:asciiTheme="minorHAnsi" w:hAnsiTheme="minorHAnsi"/>
          <w:sz w:val="24"/>
          <w:szCs w:val="24"/>
        </w:rPr>
        <w:t xml:space="preserve"> data</w:t>
      </w:r>
      <w:r w:rsidR="007241E7" w:rsidRPr="00F314C1">
        <w:rPr>
          <w:rFonts w:asciiTheme="minorHAnsi" w:hAnsiTheme="minorHAnsi"/>
          <w:sz w:val="24"/>
          <w:szCs w:val="24"/>
        </w:rPr>
        <w:t xml:space="preserve"> </w:t>
      </w:r>
      <w:r w:rsidR="00103F2B" w:rsidRPr="00F314C1">
        <w:rPr>
          <w:rFonts w:asciiTheme="minorHAnsi" w:hAnsiTheme="minorHAnsi"/>
          <w:sz w:val="24"/>
          <w:szCs w:val="24"/>
        </w:rPr>
        <w:t xml:space="preserve">and developed a composite </w:t>
      </w:r>
      <w:r w:rsidR="00771D4D" w:rsidRPr="00F314C1">
        <w:rPr>
          <w:rFonts w:asciiTheme="minorHAnsi" w:hAnsiTheme="minorHAnsi"/>
          <w:sz w:val="24"/>
          <w:szCs w:val="24"/>
        </w:rPr>
        <w:t>Aleut diet used to estimate the potential risk of ingesting seafood harvested (both from a subsistence and commercial bas</w:t>
      </w:r>
      <w:r w:rsidR="00103F2B" w:rsidRPr="00F314C1">
        <w:rPr>
          <w:rFonts w:asciiTheme="minorHAnsi" w:hAnsiTheme="minorHAnsi"/>
          <w:sz w:val="24"/>
          <w:szCs w:val="24"/>
        </w:rPr>
        <w:t>is) from Amchitka</w:t>
      </w:r>
      <w:r w:rsidR="007D7FAC" w:rsidRPr="00F314C1">
        <w:rPr>
          <w:rFonts w:asciiTheme="minorHAnsi" w:hAnsiTheme="minorHAnsi"/>
          <w:sz w:val="24"/>
          <w:szCs w:val="24"/>
        </w:rPr>
        <w:t xml:space="preserve">. </w:t>
      </w:r>
    </w:p>
    <w:p w14:paraId="64988047" w14:textId="77777777" w:rsidR="00DD4E1D" w:rsidRPr="00F314C1" w:rsidRDefault="00DD4E1D" w:rsidP="00C379D4">
      <w:pPr>
        <w:pStyle w:val="Heading4"/>
        <w:jc w:val="both"/>
        <w:rPr>
          <w:sz w:val="24"/>
          <w:szCs w:val="24"/>
        </w:rPr>
      </w:pPr>
      <w:r w:rsidRPr="00F314C1">
        <w:rPr>
          <w:sz w:val="24"/>
          <w:szCs w:val="24"/>
        </w:rPr>
        <w:t>Study Population</w:t>
      </w:r>
    </w:p>
    <w:p w14:paraId="64988048" w14:textId="620B1E9B" w:rsidR="00F672D5" w:rsidRPr="00F314C1" w:rsidRDefault="0039511F" w:rsidP="00C379D4">
      <w:pPr>
        <w:autoSpaceDE w:val="0"/>
        <w:autoSpaceDN w:val="0"/>
        <w:adjustRightInd w:val="0"/>
        <w:spacing w:after="0"/>
        <w:jc w:val="both"/>
        <w:rPr>
          <w:rFonts w:asciiTheme="minorHAnsi" w:hAnsiTheme="minorHAnsi"/>
          <w:sz w:val="24"/>
          <w:szCs w:val="24"/>
        </w:rPr>
      </w:pPr>
      <w:r w:rsidRPr="00F314C1">
        <w:rPr>
          <w:rFonts w:asciiTheme="minorHAnsi" w:hAnsiTheme="minorHAnsi"/>
          <w:sz w:val="24"/>
          <w:szCs w:val="24"/>
        </w:rPr>
        <w:t>T</w:t>
      </w:r>
      <w:r w:rsidR="00F672D5" w:rsidRPr="00F314C1">
        <w:rPr>
          <w:rFonts w:asciiTheme="minorHAnsi" w:hAnsiTheme="minorHAnsi"/>
          <w:sz w:val="24"/>
          <w:szCs w:val="24"/>
        </w:rPr>
        <w:t xml:space="preserve">he participants of the diet surveys </w:t>
      </w:r>
      <w:r w:rsidRPr="00F314C1">
        <w:rPr>
          <w:rFonts w:asciiTheme="minorHAnsi" w:hAnsiTheme="minorHAnsi"/>
          <w:sz w:val="24"/>
          <w:szCs w:val="24"/>
        </w:rPr>
        <w:t>represented a mix of</w:t>
      </w:r>
      <w:r w:rsidR="00F672D5" w:rsidRPr="00F314C1">
        <w:rPr>
          <w:rFonts w:asciiTheme="minorHAnsi" w:hAnsiTheme="minorHAnsi"/>
          <w:sz w:val="24"/>
          <w:szCs w:val="24"/>
        </w:rPr>
        <w:t xml:space="preserve"> male</w:t>
      </w:r>
      <w:r w:rsidRPr="00F314C1">
        <w:rPr>
          <w:rFonts w:asciiTheme="minorHAnsi" w:hAnsiTheme="minorHAnsi"/>
          <w:sz w:val="24"/>
          <w:szCs w:val="24"/>
        </w:rPr>
        <w:t xml:space="preserve"> and</w:t>
      </w:r>
      <w:r w:rsidR="00F672D5" w:rsidRPr="00F314C1">
        <w:rPr>
          <w:rFonts w:asciiTheme="minorHAnsi" w:hAnsiTheme="minorHAnsi"/>
          <w:sz w:val="24"/>
          <w:szCs w:val="24"/>
        </w:rPr>
        <w:t xml:space="preserve"> female</w:t>
      </w:r>
      <w:r w:rsidRPr="00F314C1">
        <w:rPr>
          <w:rFonts w:asciiTheme="minorHAnsi" w:hAnsiTheme="minorHAnsi"/>
          <w:sz w:val="24"/>
          <w:szCs w:val="24"/>
        </w:rPr>
        <w:t xml:space="preserve"> individuals that were</w:t>
      </w:r>
      <w:r w:rsidR="00F672D5" w:rsidRPr="00F314C1">
        <w:rPr>
          <w:rFonts w:asciiTheme="minorHAnsi" w:hAnsiTheme="minorHAnsi"/>
          <w:sz w:val="24"/>
          <w:szCs w:val="24"/>
        </w:rPr>
        <w:t xml:space="preserve"> 15 years or older, except for a small number of younger participants in part of the Atka diet survey</w:t>
      </w:r>
      <w:r w:rsidR="00723A3A" w:rsidRPr="00F314C1">
        <w:rPr>
          <w:rFonts w:asciiTheme="minorHAnsi" w:hAnsiTheme="minorHAnsi"/>
          <w:sz w:val="24"/>
          <w:szCs w:val="24"/>
        </w:rPr>
        <w:t>.</w:t>
      </w:r>
    </w:p>
    <w:p w14:paraId="64988049" w14:textId="77777777" w:rsidR="00DD4E1D" w:rsidRPr="00F314C1" w:rsidRDefault="00723A3A" w:rsidP="00C379D4">
      <w:pPr>
        <w:pStyle w:val="Heading4"/>
        <w:jc w:val="both"/>
        <w:rPr>
          <w:sz w:val="24"/>
          <w:szCs w:val="24"/>
        </w:rPr>
      </w:pPr>
      <w:r w:rsidRPr="00F314C1">
        <w:rPr>
          <w:sz w:val="24"/>
          <w:szCs w:val="24"/>
        </w:rPr>
        <w:t>D</w:t>
      </w:r>
      <w:r w:rsidR="00DD4E1D" w:rsidRPr="00F314C1">
        <w:rPr>
          <w:sz w:val="24"/>
          <w:szCs w:val="24"/>
        </w:rPr>
        <w:t>ata Collection Methods</w:t>
      </w:r>
    </w:p>
    <w:p w14:paraId="6498804A" w14:textId="327B58A6" w:rsidR="008C0C88" w:rsidRPr="00F314C1" w:rsidRDefault="008C0C88" w:rsidP="00C379D4">
      <w:pPr>
        <w:autoSpaceDE w:val="0"/>
        <w:autoSpaceDN w:val="0"/>
        <w:adjustRightInd w:val="0"/>
        <w:spacing w:after="0"/>
        <w:jc w:val="both"/>
        <w:rPr>
          <w:rFonts w:asciiTheme="minorHAnsi" w:hAnsiTheme="minorHAnsi"/>
          <w:sz w:val="24"/>
          <w:szCs w:val="24"/>
        </w:rPr>
      </w:pPr>
      <w:r w:rsidRPr="00F314C1">
        <w:rPr>
          <w:rFonts w:asciiTheme="minorHAnsi" w:hAnsiTheme="minorHAnsi"/>
          <w:sz w:val="24"/>
          <w:szCs w:val="24"/>
        </w:rPr>
        <w:t>For the Atka diet data, diet informa</w:t>
      </w:r>
      <w:r w:rsidR="00103F2B" w:rsidRPr="00F314C1">
        <w:rPr>
          <w:rFonts w:asciiTheme="minorHAnsi" w:hAnsiTheme="minorHAnsi"/>
          <w:sz w:val="24"/>
          <w:szCs w:val="24"/>
        </w:rPr>
        <w:t xml:space="preserve">tion </w:t>
      </w:r>
      <w:r w:rsidR="007C4A58" w:rsidRPr="00F314C1">
        <w:rPr>
          <w:rFonts w:asciiTheme="minorHAnsi" w:hAnsiTheme="minorHAnsi"/>
          <w:sz w:val="24"/>
          <w:szCs w:val="24"/>
        </w:rPr>
        <w:t xml:space="preserve">was reported </w:t>
      </w:r>
      <w:r w:rsidR="00103F2B" w:rsidRPr="00F314C1">
        <w:rPr>
          <w:rFonts w:asciiTheme="minorHAnsi" w:hAnsiTheme="minorHAnsi"/>
          <w:sz w:val="24"/>
          <w:szCs w:val="24"/>
        </w:rPr>
        <w:t xml:space="preserve">in terms of </w:t>
      </w:r>
      <w:r w:rsidR="007C4A58" w:rsidRPr="00F314C1">
        <w:rPr>
          <w:rFonts w:asciiTheme="minorHAnsi" w:hAnsiTheme="minorHAnsi"/>
          <w:sz w:val="24"/>
          <w:szCs w:val="24"/>
        </w:rPr>
        <w:t>g</w:t>
      </w:r>
      <w:r w:rsidR="0005449C" w:rsidRPr="00F314C1">
        <w:rPr>
          <w:rFonts w:asciiTheme="minorHAnsi" w:hAnsiTheme="minorHAnsi"/>
          <w:sz w:val="24"/>
          <w:szCs w:val="24"/>
        </w:rPr>
        <w:t>/</w:t>
      </w:r>
      <w:r w:rsidR="007C4A58" w:rsidRPr="00F314C1">
        <w:rPr>
          <w:rFonts w:asciiTheme="minorHAnsi" w:hAnsiTheme="minorHAnsi"/>
          <w:sz w:val="24"/>
          <w:szCs w:val="24"/>
        </w:rPr>
        <w:t>day</w:t>
      </w:r>
      <w:r w:rsidRPr="00F314C1">
        <w:rPr>
          <w:rFonts w:asciiTheme="minorHAnsi" w:hAnsiTheme="minorHAnsi"/>
          <w:sz w:val="24"/>
          <w:szCs w:val="24"/>
        </w:rPr>
        <w:t xml:space="preserve"> for three survey periods</w:t>
      </w:r>
      <w:r w:rsidR="007C4A58" w:rsidRPr="00F314C1">
        <w:rPr>
          <w:rFonts w:asciiTheme="minorHAnsi" w:hAnsiTheme="minorHAnsi"/>
          <w:sz w:val="24"/>
          <w:szCs w:val="24"/>
        </w:rPr>
        <w:t xml:space="preserve">: </w:t>
      </w:r>
      <w:r w:rsidRPr="00F314C1">
        <w:rPr>
          <w:rFonts w:asciiTheme="minorHAnsi" w:hAnsiTheme="minorHAnsi"/>
          <w:sz w:val="24"/>
          <w:szCs w:val="24"/>
        </w:rPr>
        <w:t>June to September 1998</w:t>
      </w:r>
      <w:r w:rsidR="007C4A58" w:rsidRPr="00F314C1">
        <w:rPr>
          <w:rFonts w:asciiTheme="minorHAnsi" w:hAnsiTheme="minorHAnsi"/>
          <w:sz w:val="24"/>
          <w:szCs w:val="24"/>
        </w:rPr>
        <w:t>;</w:t>
      </w:r>
      <w:r w:rsidRPr="00F314C1">
        <w:rPr>
          <w:rFonts w:asciiTheme="minorHAnsi" w:hAnsiTheme="minorHAnsi"/>
          <w:sz w:val="24"/>
          <w:szCs w:val="24"/>
        </w:rPr>
        <w:t xml:space="preserve"> June to December 1998</w:t>
      </w:r>
      <w:r w:rsidR="007C4A58" w:rsidRPr="00F314C1">
        <w:rPr>
          <w:rFonts w:asciiTheme="minorHAnsi" w:hAnsiTheme="minorHAnsi"/>
          <w:sz w:val="24"/>
          <w:szCs w:val="24"/>
        </w:rPr>
        <w:t>;</w:t>
      </w:r>
      <w:r w:rsidRPr="00F314C1">
        <w:rPr>
          <w:rFonts w:asciiTheme="minorHAnsi" w:hAnsiTheme="minorHAnsi"/>
          <w:sz w:val="24"/>
          <w:szCs w:val="24"/>
        </w:rPr>
        <w:t xml:space="preserve"> and</w:t>
      </w:r>
      <w:r w:rsidR="00FC4230" w:rsidRPr="00F314C1">
        <w:rPr>
          <w:rFonts w:asciiTheme="minorHAnsi" w:hAnsiTheme="minorHAnsi"/>
          <w:sz w:val="24"/>
          <w:szCs w:val="24"/>
        </w:rPr>
        <w:t xml:space="preserve"> </w:t>
      </w:r>
      <w:r w:rsidRPr="00F314C1">
        <w:rPr>
          <w:rFonts w:asciiTheme="minorHAnsi" w:hAnsiTheme="minorHAnsi"/>
          <w:sz w:val="24"/>
          <w:szCs w:val="24"/>
        </w:rPr>
        <w:t xml:space="preserve">January to April 1999. </w:t>
      </w:r>
      <w:r w:rsidR="007C4A58" w:rsidRPr="00F314C1">
        <w:rPr>
          <w:rFonts w:asciiTheme="minorHAnsi" w:hAnsiTheme="minorHAnsi"/>
          <w:sz w:val="24"/>
          <w:szCs w:val="24"/>
        </w:rPr>
        <w:t xml:space="preserve">Given that </w:t>
      </w:r>
      <w:r w:rsidRPr="00F314C1">
        <w:rPr>
          <w:rFonts w:asciiTheme="minorHAnsi" w:hAnsiTheme="minorHAnsi"/>
          <w:sz w:val="24"/>
          <w:szCs w:val="24"/>
        </w:rPr>
        <w:t xml:space="preserve">the first period </w:t>
      </w:r>
      <w:r w:rsidR="007C4A58" w:rsidRPr="00F314C1">
        <w:rPr>
          <w:rFonts w:asciiTheme="minorHAnsi" w:hAnsiTheme="minorHAnsi"/>
          <w:sz w:val="24"/>
          <w:szCs w:val="24"/>
        </w:rPr>
        <w:t>overlapped</w:t>
      </w:r>
      <w:r w:rsidRPr="00F314C1">
        <w:rPr>
          <w:rFonts w:asciiTheme="minorHAnsi" w:hAnsiTheme="minorHAnsi"/>
          <w:sz w:val="24"/>
          <w:szCs w:val="24"/>
        </w:rPr>
        <w:t xml:space="preserve"> with the second period, data for the</w:t>
      </w:r>
      <w:r w:rsidR="00FC4230" w:rsidRPr="00F314C1">
        <w:rPr>
          <w:rFonts w:asciiTheme="minorHAnsi" w:hAnsiTheme="minorHAnsi"/>
          <w:sz w:val="24"/>
          <w:szCs w:val="24"/>
        </w:rPr>
        <w:t xml:space="preserve"> </w:t>
      </w:r>
      <w:r w:rsidRPr="00F314C1">
        <w:rPr>
          <w:rFonts w:asciiTheme="minorHAnsi" w:hAnsiTheme="minorHAnsi"/>
          <w:sz w:val="24"/>
          <w:szCs w:val="24"/>
        </w:rPr>
        <w:t>second period were used, whenever available, with those for the third period to determine the</w:t>
      </w:r>
      <w:r w:rsidR="00FC4230" w:rsidRPr="00F314C1">
        <w:rPr>
          <w:rFonts w:asciiTheme="minorHAnsi" w:hAnsiTheme="minorHAnsi"/>
          <w:sz w:val="24"/>
          <w:szCs w:val="24"/>
        </w:rPr>
        <w:t xml:space="preserve"> average consumption</w:t>
      </w:r>
      <w:r w:rsidRPr="00F314C1">
        <w:rPr>
          <w:rFonts w:asciiTheme="minorHAnsi" w:hAnsiTheme="minorHAnsi"/>
          <w:sz w:val="24"/>
          <w:szCs w:val="24"/>
        </w:rPr>
        <w:t xml:space="preserve"> rates. T</w:t>
      </w:r>
      <w:r w:rsidR="00FC4230" w:rsidRPr="00F314C1">
        <w:rPr>
          <w:rFonts w:asciiTheme="minorHAnsi" w:hAnsiTheme="minorHAnsi"/>
          <w:sz w:val="24"/>
          <w:szCs w:val="24"/>
        </w:rPr>
        <w:t>he reported average daily consumption</w:t>
      </w:r>
      <w:r w:rsidRPr="00F314C1">
        <w:rPr>
          <w:rFonts w:asciiTheme="minorHAnsi" w:hAnsiTheme="minorHAnsi"/>
          <w:sz w:val="24"/>
          <w:szCs w:val="24"/>
        </w:rPr>
        <w:t xml:space="preserve"> rates fo</w:t>
      </w:r>
      <w:r w:rsidR="00FC4230" w:rsidRPr="00F314C1">
        <w:rPr>
          <w:rFonts w:asciiTheme="minorHAnsi" w:hAnsiTheme="minorHAnsi"/>
          <w:sz w:val="24"/>
          <w:szCs w:val="24"/>
        </w:rPr>
        <w:t>r participants</w:t>
      </w:r>
      <w:r w:rsidRPr="00F314C1">
        <w:rPr>
          <w:rFonts w:asciiTheme="minorHAnsi" w:hAnsiTheme="minorHAnsi"/>
          <w:sz w:val="24"/>
          <w:szCs w:val="24"/>
        </w:rPr>
        <w:t xml:space="preserve"> were used. Although</w:t>
      </w:r>
      <w:r w:rsidR="00FC4230" w:rsidRPr="00F314C1">
        <w:rPr>
          <w:rFonts w:asciiTheme="minorHAnsi" w:hAnsiTheme="minorHAnsi"/>
          <w:sz w:val="24"/>
          <w:szCs w:val="24"/>
        </w:rPr>
        <w:t xml:space="preserve"> </w:t>
      </w:r>
      <w:r w:rsidRPr="00F314C1">
        <w:rPr>
          <w:rFonts w:asciiTheme="minorHAnsi" w:hAnsiTheme="minorHAnsi"/>
          <w:sz w:val="24"/>
          <w:szCs w:val="24"/>
        </w:rPr>
        <w:t xml:space="preserve">the </w:t>
      </w:r>
      <w:r w:rsidR="00FC4230" w:rsidRPr="00F314C1">
        <w:rPr>
          <w:rFonts w:asciiTheme="minorHAnsi" w:hAnsiTheme="minorHAnsi"/>
          <w:sz w:val="24"/>
          <w:szCs w:val="24"/>
        </w:rPr>
        <w:t xml:space="preserve">diet </w:t>
      </w:r>
      <w:r w:rsidRPr="00F314C1">
        <w:rPr>
          <w:rFonts w:asciiTheme="minorHAnsi" w:hAnsiTheme="minorHAnsi"/>
          <w:sz w:val="24"/>
          <w:szCs w:val="24"/>
        </w:rPr>
        <w:t>assessments d</w:t>
      </w:r>
      <w:r w:rsidR="007B06E5" w:rsidRPr="00F314C1">
        <w:rPr>
          <w:rFonts w:asciiTheme="minorHAnsi" w:hAnsiTheme="minorHAnsi"/>
          <w:sz w:val="24"/>
          <w:szCs w:val="24"/>
        </w:rPr>
        <w:t>o not cover an entire year, it wa</w:t>
      </w:r>
      <w:r w:rsidRPr="00F314C1">
        <w:rPr>
          <w:rFonts w:asciiTheme="minorHAnsi" w:hAnsiTheme="minorHAnsi"/>
          <w:sz w:val="24"/>
          <w:szCs w:val="24"/>
        </w:rPr>
        <w:t>s</w:t>
      </w:r>
      <w:r w:rsidR="00FC4230" w:rsidRPr="00F314C1">
        <w:rPr>
          <w:rFonts w:asciiTheme="minorHAnsi" w:hAnsiTheme="minorHAnsi"/>
          <w:sz w:val="24"/>
          <w:szCs w:val="24"/>
        </w:rPr>
        <w:t xml:space="preserve"> a</w:t>
      </w:r>
      <w:r w:rsidRPr="00F314C1">
        <w:rPr>
          <w:rFonts w:asciiTheme="minorHAnsi" w:hAnsiTheme="minorHAnsi"/>
          <w:sz w:val="24"/>
          <w:szCs w:val="24"/>
        </w:rPr>
        <w:t>ssumed that the diet pattern was</w:t>
      </w:r>
      <w:r w:rsidR="00FC4230" w:rsidRPr="00F314C1">
        <w:rPr>
          <w:rFonts w:asciiTheme="minorHAnsi" w:hAnsiTheme="minorHAnsi"/>
          <w:sz w:val="24"/>
          <w:szCs w:val="24"/>
        </w:rPr>
        <w:t xml:space="preserve"> </w:t>
      </w:r>
      <w:r w:rsidRPr="00F314C1">
        <w:rPr>
          <w:rFonts w:asciiTheme="minorHAnsi" w:hAnsiTheme="minorHAnsi"/>
          <w:sz w:val="24"/>
          <w:szCs w:val="24"/>
        </w:rPr>
        <w:t>applicable for the entire year.</w:t>
      </w:r>
    </w:p>
    <w:p w14:paraId="6498804B" w14:textId="2CEC1423" w:rsidR="0063616D" w:rsidRPr="00F314C1" w:rsidRDefault="00FC4230" w:rsidP="00C379D4">
      <w:pPr>
        <w:autoSpaceDE w:val="0"/>
        <w:autoSpaceDN w:val="0"/>
        <w:adjustRightInd w:val="0"/>
        <w:spacing w:after="0"/>
        <w:jc w:val="both"/>
        <w:rPr>
          <w:rFonts w:asciiTheme="minorHAnsi" w:hAnsiTheme="minorHAnsi"/>
          <w:sz w:val="24"/>
          <w:szCs w:val="24"/>
        </w:rPr>
      </w:pPr>
      <w:r w:rsidRPr="00F314C1">
        <w:rPr>
          <w:rFonts w:asciiTheme="minorHAnsi" w:hAnsiTheme="minorHAnsi"/>
          <w:sz w:val="24"/>
          <w:szCs w:val="24"/>
        </w:rPr>
        <w:t xml:space="preserve">The diet data for St. Paul, </w:t>
      </w:r>
      <w:proofErr w:type="spellStart"/>
      <w:r w:rsidRPr="00F314C1">
        <w:rPr>
          <w:rFonts w:asciiTheme="minorHAnsi" w:hAnsiTheme="minorHAnsi"/>
          <w:sz w:val="24"/>
          <w:szCs w:val="24"/>
        </w:rPr>
        <w:t>Nikolski</w:t>
      </w:r>
      <w:proofErr w:type="spellEnd"/>
      <w:r w:rsidRPr="00F314C1">
        <w:rPr>
          <w:rFonts w:asciiTheme="minorHAnsi" w:hAnsiTheme="minorHAnsi"/>
          <w:sz w:val="24"/>
          <w:szCs w:val="24"/>
        </w:rPr>
        <w:t xml:space="preserve">, and Unalaska </w:t>
      </w:r>
      <w:r w:rsidR="008C0C88" w:rsidRPr="00F314C1">
        <w:rPr>
          <w:rFonts w:asciiTheme="minorHAnsi" w:hAnsiTheme="minorHAnsi"/>
          <w:sz w:val="24"/>
          <w:szCs w:val="24"/>
        </w:rPr>
        <w:t>w</w:t>
      </w:r>
      <w:r w:rsidR="0063616D" w:rsidRPr="00F314C1">
        <w:rPr>
          <w:rFonts w:asciiTheme="minorHAnsi" w:hAnsiTheme="minorHAnsi"/>
          <w:sz w:val="24"/>
          <w:szCs w:val="24"/>
        </w:rPr>
        <w:t>ere reported as consumption</w:t>
      </w:r>
      <w:r w:rsidR="008C0C88" w:rsidRPr="00F314C1">
        <w:rPr>
          <w:rFonts w:asciiTheme="minorHAnsi" w:hAnsiTheme="minorHAnsi"/>
          <w:sz w:val="24"/>
          <w:szCs w:val="24"/>
        </w:rPr>
        <w:t xml:space="preserve"> frequency</w:t>
      </w:r>
      <w:r w:rsidR="0063616D" w:rsidRPr="00F314C1">
        <w:rPr>
          <w:rFonts w:asciiTheme="minorHAnsi" w:hAnsiTheme="minorHAnsi"/>
          <w:sz w:val="24"/>
          <w:szCs w:val="24"/>
        </w:rPr>
        <w:t>,</w:t>
      </w:r>
      <w:r w:rsidR="008C0C88" w:rsidRPr="00F314C1">
        <w:rPr>
          <w:rFonts w:asciiTheme="minorHAnsi" w:hAnsiTheme="minorHAnsi"/>
          <w:sz w:val="24"/>
          <w:szCs w:val="24"/>
        </w:rPr>
        <w:t xml:space="preserve"> expressed as the number of portions per year.</w:t>
      </w:r>
      <w:r w:rsidRPr="00F314C1">
        <w:rPr>
          <w:rFonts w:asciiTheme="minorHAnsi" w:hAnsiTheme="minorHAnsi"/>
          <w:sz w:val="24"/>
          <w:szCs w:val="24"/>
        </w:rPr>
        <w:t xml:space="preserve"> </w:t>
      </w:r>
      <w:r w:rsidR="008C0C88" w:rsidRPr="00F314C1">
        <w:rPr>
          <w:rFonts w:asciiTheme="minorHAnsi" w:hAnsiTheme="minorHAnsi"/>
          <w:sz w:val="24"/>
          <w:szCs w:val="24"/>
        </w:rPr>
        <w:t>The results were</w:t>
      </w:r>
      <w:r w:rsidRPr="00F314C1">
        <w:rPr>
          <w:rFonts w:asciiTheme="minorHAnsi" w:hAnsiTheme="minorHAnsi"/>
          <w:sz w:val="24"/>
          <w:szCs w:val="24"/>
        </w:rPr>
        <w:t xml:space="preserve"> </w:t>
      </w:r>
      <w:r w:rsidR="008C0C88" w:rsidRPr="00F314C1">
        <w:rPr>
          <w:rFonts w:asciiTheme="minorHAnsi" w:hAnsiTheme="minorHAnsi"/>
          <w:sz w:val="24"/>
          <w:szCs w:val="24"/>
        </w:rPr>
        <w:t>multiplied by the corresponding amount in grams per portion, and then</w:t>
      </w:r>
      <w:r w:rsidRPr="00F314C1">
        <w:rPr>
          <w:rFonts w:asciiTheme="minorHAnsi" w:hAnsiTheme="minorHAnsi"/>
          <w:sz w:val="24"/>
          <w:szCs w:val="24"/>
        </w:rPr>
        <w:t xml:space="preserve"> </w:t>
      </w:r>
      <w:r w:rsidR="008C0C88" w:rsidRPr="00F314C1">
        <w:rPr>
          <w:rFonts w:asciiTheme="minorHAnsi" w:hAnsiTheme="minorHAnsi"/>
          <w:sz w:val="24"/>
          <w:szCs w:val="24"/>
        </w:rPr>
        <w:t xml:space="preserve">divided by 365 days per year to obtain the average daily </w:t>
      </w:r>
      <w:r w:rsidR="008C0C88" w:rsidRPr="00F314C1">
        <w:rPr>
          <w:rFonts w:asciiTheme="minorHAnsi" w:hAnsiTheme="minorHAnsi"/>
          <w:sz w:val="24"/>
          <w:szCs w:val="24"/>
        </w:rPr>
        <w:lastRenderedPageBreak/>
        <w:t>intake rates in grams per day. Similar to the Atka diet data, the reported</w:t>
      </w:r>
      <w:r w:rsidRPr="00F314C1">
        <w:rPr>
          <w:rFonts w:asciiTheme="minorHAnsi" w:hAnsiTheme="minorHAnsi"/>
          <w:sz w:val="24"/>
          <w:szCs w:val="24"/>
        </w:rPr>
        <w:t xml:space="preserve"> </w:t>
      </w:r>
      <w:r w:rsidR="008C0C88" w:rsidRPr="00F314C1">
        <w:rPr>
          <w:rFonts w:asciiTheme="minorHAnsi" w:hAnsiTheme="minorHAnsi"/>
          <w:sz w:val="24"/>
          <w:szCs w:val="24"/>
        </w:rPr>
        <w:t>a</w:t>
      </w:r>
      <w:r w:rsidR="0063616D" w:rsidRPr="00F314C1">
        <w:rPr>
          <w:rFonts w:asciiTheme="minorHAnsi" w:hAnsiTheme="minorHAnsi"/>
          <w:sz w:val="24"/>
          <w:szCs w:val="24"/>
        </w:rPr>
        <w:t>verage frequencies for participant</w:t>
      </w:r>
      <w:r w:rsidR="008C0C88" w:rsidRPr="00F314C1">
        <w:rPr>
          <w:rFonts w:asciiTheme="minorHAnsi" w:hAnsiTheme="minorHAnsi"/>
          <w:sz w:val="24"/>
          <w:szCs w:val="24"/>
        </w:rPr>
        <w:t>s were used in the calculations</w:t>
      </w:r>
      <w:r w:rsidR="0063616D" w:rsidRPr="00F314C1">
        <w:rPr>
          <w:rFonts w:asciiTheme="minorHAnsi" w:hAnsiTheme="minorHAnsi"/>
          <w:sz w:val="24"/>
          <w:szCs w:val="24"/>
        </w:rPr>
        <w:t xml:space="preserve">. </w:t>
      </w:r>
    </w:p>
    <w:p w14:paraId="6498804C" w14:textId="4104B30B" w:rsidR="008C0C88" w:rsidRPr="00F314C1" w:rsidRDefault="007B06E5" w:rsidP="00C379D4">
      <w:pPr>
        <w:autoSpaceDE w:val="0"/>
        <w:autoSpaceDN w:val="0"/>
        <w:adjustRightInd w:val="0"/>
        <w:spacing w:after="0"/>
        <w:jc w:val="both"/>
        <w:rPr>
          <w:rFonts w:asciiTheme="minorHAnsi" w:hAnsiTheme="minorHAnsi"/>
          <w:sz w:val="24"/>
          <w:szCs w:val="24"/>
        </w:rPr>
      </w:pPr>
      <w:r w:rsidRPr="00F314C1">
        <w:rPr>
          <w:rFonts w:asciiTheme="minorHAnsi" w:hAnsiTheme="minorHAnsi"/>
          <w:sz w:val="24"/>
          <w:szCs w:val="24"/>
        </w:rPr>
        <w:t>For fish type</w:t>
      </w:r>
      <w:r w:rsidR="00103F2B" w:rsidRPr="00F314C1">
        <w:rPr>
          <w:rFonts w:asciiTheme="minorHAnsi" w:hAnsiTheme="minorHAnsi"/>
          <w:sz w:val="24"/>
          <w:szCs w:val="24"/>
        </w:rPr>
        <w:t>s</w:t>
      </w:r>
      <w:r w:rsidR="008C0C88" w:rsidRPr="00F314C1">
        <w:rPr>
          <w:rFonts w:asciiTheme="minorHAnsi" w:hAnsiTheme="minorHAnsi"/>
          <w:sz w:val="24"/>
          <w:szCs w:val="24"/>
        </w:rPr>
        <w:t xml:space="preserve"> of which multiple varieties are included in the diet, </w:t>
      </w:r>
      <w:r w:rsidR="0063616D" w:rsidRPr="00F314C1">
        <w:rPr>
          <w:rFonts w:asciiTheme="minorHAnsi" w:hAnsiTheme="minorHAnsi"/>
          <w:sz w:val="24"/>
          <w:szCs w:val="24"/>
        </w:rPr>
        <w:t>all species were combined</w:t>
      </w:r>
      <w:r w:rsidR="008C0C88" w:rsidRPr="00F314C1">
        <w:rPr>
          <w:rFonts w:asciiTheme="minorHAnsi" w:hAnsiTheme="minorHAnsi"/>
          <w:sz w:val="24"/>
          <w:szCs w:val="24"/>
        </w:rPr>
        <w:t xml:space="preserve"> to give </w:t>
      </w:r>
      <w:r w:rsidR="0063616D" w:rsidRPr="00F314C1">
        <w:rPr>
          <w:rFonts w:asciiTheme="minorHAnsi" w:hAnsiTheme="minorHAnsi"/>
          <w:sz w:val="24"/>
          <w:szCs w:val="24"/>
        </w:rPr>
        <w:t>the total intake rate for that fish or seafood type</w:t>
      </w:r>
      <w:r w:rsidR="008C0C88" w:rsidRPr="00F314C1">
        <w:rPr>
          <w:rFonts w:asciiTheme="minorHAnsi" w:hAnsiTheme="minorHAnsi"/>
          <w:sz w:val="24"/>
          <w:szCs w:val="24"/>
        </w:rPr>
        <w:t>.</w:t>
      </w:r>
      <w:r w:rsidR="0063616D" w:rsidRPr="00F314C1">
        <w:rPr>
          <w:rFonts w:asciiTheme="minorHAnsi" w:hAnsiTheme="minorHAnsi"/>
          <w:sz w:val="24"/>
          <w:szCs w:val="24"/>
        </w:rPr>
        <w:t xml:space="preserve"> </w:t>
      </w:r>
      <w:r w:rsidR="008C0C88" w:rsidRPr="00F314C1">
        <w:rPr>
          <w:rFonts w:asciiTheme="minorHAnsi" w:hAnsiTheme="minorHAnsi"/>
          <w:sz w:val="24"/>
          <w:szCs w:val="24"/>
        </w:rPr>
        <w:t>This approach was necessary to provide a common basis for developing ingestion rates of</w:t>
      </w:r>
      <w:r w:rsidR="0063616D" w:rsidRPr="00F314C1">
        <w:rPr>
          <w:rFonts w:asciiTheme="minorHAnsi" w:hAnsiTheme="minorHAnsi"/>
          <w:sz w:val="24"/>
          <w:szCs w:val="24"/>
        </w:rPr>
        <w:t xml:space="preserve"> </w:t>
      </w:r>
      <w:r w:rsidR="008C0C88" w:rsidRPr="00F314C1">
        <w:rPr>
          <w:rFonts w:asciiTheme="minorHAnsi" w:hAnsiTheme="minorHAnsi"/>
          <w:sz w:val="24"/>
          <w:szCs w:val="24"/>
        </w:rPr>
        <w:t>diffe</w:t>
      </w:r>
      <w:r w:rsidR="0063616D" w:rsidRPr="00F314C1">
        <w:rPr>
          <w:rFonts w:asciiTheme="minorHAnsi" w:hAnsiTheme="minorHAnsi"/>
          <w:sz w:val="24"/>
          <w:szCs w:val="24"/>
        </w:rPr>
        <w:t xml:space="preserve">rent species within the four sets </w:t>
      </w:r>
      <w:proofErr w:type="gramStart"/>
      <w:r w:rsidR="0063616D" w:rsidRPr="00F314C1">
        <w:rPr>
          <w:rFonts w:asciiTheme="minorHAnsi" w:hAnsiTheme="minorHAnsi"/>
          <w:sz w:val="24"/>
          <w:szCs w:val="24"/>
        </w:rPr>
        <w:t>of</w:t>
      </w:r>
      <w:r w:rsidR="008C0C88" w:rsidRPr="00F314C1">
        <w:rPr>
          <w:rFonts w:asciiTheme="minorHAnsi" w:hAnsiTheme="minorHAnsi"/>
          <w:sz w:val="24"/>
          <w:szCs w:val="24"/>
        </w:rPr>
        <w:t xml:space="preserve">  diet</w:t>
      </w:r>
      <w:proofErr w:type="gramEnd"/>
      <w:r w:rsidR="008C0C88" w:rsidRPr="00F314C1">
        <w:rPr>
          <w:rFonts w:asciiTheme="minorHAnsi" w:hAnsiTheme="minorHAnsi"/>
          <w:sz w:val="24"/>
          <w:szCs w:val="24"/>
        </w:rPr>
        <w:t xml:space="preserve"> data because the level of detail regarding the varieties</w:t>
      </w:r>
      <w:r w:rsidR="0063616D" w:rsidRPr="00F314C1">
        <w:rPr>
          <w:rFonts w:asciiTheme="minorHAnsi" w:hAnsiTheme="minorHAnsi"/>
          <w:sz w:val="24"/>
          <w:szCs w:val="24"/>
        </w:rPr>
        <w:t xml:space="preserve"> </w:t>
      </w:r>
      <w:r w:rsidR="008C0C88" w:rsidRPr="00F314C1">
        <w:rPr>
          <w:rFonts w:asciiTheme="minorHAnsi" w:hAnsiTheme="minorHAnsi"/>
          <w:sz w:val="24"/>
          <w:szCs w:val="24"/>
        </w:rPr>
        <w:t xml:space="preserve">of species consumed </w:t>
      </w:r>
      <w:r w:rsidR="0063616D" w:rsidRPr="00F314C1">
        <w:rPr>
          <w:rFonts w:asciiTheme="minorHAnsi" w:hAnsiTheme="minorHAnsi"/>
          <w:sz w:val="24"/>
          <w:szCs w:val="24"/>
        </w:rPr>
        <w:t>was not identical between the different studies.</w:t>
      </w:r>
    </w:p>
    <w:p w14:paraId="6498804D" w14:textId="77777777" w:rsidR="00DD4E1D" w:rsidRPr="00F314C1" w:rsidRDefault="00DD4E1D" w:rsidP="00C379D4">
      <w:pPr>
        <w:pStyle w:val="Heading4"/>
        <w:keepNext/>
        <w:jc w:val="both"/>
        <w:rPr>
          <w:sz w:val="24"/>
          <w:szCs w:val="24"/>
        </w:rPr>
      </w:pPr>
      <w:r w:rsidRPr="00F314C1">
        <w:rPr>
          <w:sz w:val="24"/>
          <w:szCs w:val="24"/>
        </w:rPr>
        <w:t xml:space="preserve">Description of Data </w:t>
      </w:r>
      <w:r w:rsidR="008C0C88" w:rsidRPr="00F314C1">
        <w:rPr>
          <w:sz w:val="24"/>
          <w:szCs w:val="24"/>
        </w:rPr>
        <w:tab/>
      </w:r>
    </w:p>
    <w:p w14:paraId="6498804E" w14:textId="5E94480E" w:rsidR="008C0C88" w:rsidRPr="00F314C1" w:rsidRDefault="008C0C88" w:rsidP="00C379D4">
      <w:pPr>
        <w:keepNext/>
        <w:autoSpaceDE w:val="0"/>
        <w:autoSpaceDN w:val="0"/>
        <w:adjustRightInd w:val="0"/>
        <w:spacing w:after="0"/>
        <w:jc w:val="both"/>
        <w:rPr>
          <w:rFonts w:asciiTheme="minorHAnsi" w:hAnsiTheme="minorHAnsi"/>
          <w:sz w:val="24"/>
          <w:szCs w:val="24"/>
        </w:rPr>
      </w:pPr>
      <w:r w:rsidRPr="00F314C1">
        <w:rPr>
          <w:rFonts w:asciiTheme="minorHAnsi" w:hAnsiTheme="minorHAnsi"/>
          <w:sz w:val="24"/>
          <w:szCs w:val="24"/>
        </w:rPr>
        <w:t>A</w:t>
      </w:r>
      <w:r w:rsidR="00103F2B" w:rsidRPr="00F314C1">
        <w:rPr>
          <w:rFonts w:asciiTheme="minorHAnsi" w:hAnsiTheme="minorHAnsi"/>
          <w:sz w:val="24"/>
          <w:szCs w:val="24"/>
        </w:rPr>
        <w:t>verage consumption in g/</w:t>
      </w:r>
      <w:r w:rsidRPr="00F314C1">
        <w:rPr>
          <w:rFonts w:asciiTheme="minorHAnsi" w:hAnsiTheme="minorHAnsi"/>
          <w:sz w:val="24"/>
          <w:szCs w:val="24"/>
        </w:rPr>
        <w:t>day is presented for each village</w:t>
      </w:r>
      <w:r w:rsidR="00FC4230" w:rsidRPr="00F314C1">
        <w:rPr>
          <w:rFonts w:asciiTheme="minorHAnsi" w:hAnsiTheme="minorHAnsi"/>
          <w:sz w:val="24"/>
          <w:szCs w:val="24"/>
        </w:rPr>
        <w:t xml:space="preserve"> and as a composite diet</w:t>
      </w:r>
      <w:r w:rsidRPr="00F314C1">
        <w:rPr>
          <w:rFonts w:asciiTheme="minorHAnsi" w:hAnsiTheme="minorHAnsi"/>
          <w:sz w:val="24"/>
          <w:szCs w:val="24"/>
        </w:rPr>
        <w:t xml:space="preserve"> for 13 fish, mollusks</w:t>
      </w:r>
      <w:r w:rsidR="001158AB" w:rsidRPr="00F314C1">
        <w:rPr>
          <w:rFonts w:asciiTheme="minorHAnsi" w:hAnsiTheme="minorHAnsi"/>
          <w:sz w:val="24"/>
          <w:szCs w:val="24"/>
        </w:rPr>
        <w:t>,</w:t>
      </w:r>
      <w:r w:rsidRPr="00F314C1">
        <w:rPr>
          <w:rFonts w:asciiTheme="minorHAnsi" w:hAnsiTheme="minorHAnsi"/>
          <w:sz w:val="24"/>
          <w:szCs w:val="24"/>
        </w:rPr>
        <w:t xml:space="preserve"> and crustaceans. On the basis of these species-specific intake rates, the total seafood intake rate over all species was determined, and the distributions of </w:t>
      </w:r>
      <w:r w:rsidR="00FC4230" w:rsidRPr="00F314C1">
        <w:rPr>
          <w:rFonts w:asciiTheme="minorHAnsi" w:hAnsiTheme="minorHAnsi"/>
          <w:sz w:val="24"/>
          <w:szCs w:val="24"/>
        </w:rPr>
        <w:t>the total consumption</w:t>
      </w:r>
      <w:r w:rsidRPr="00F314C1">
        <w:rPr>
          <w:rFonts w:asciiTheme="minorHAnsi" w:hAnsiTheme="minorHAnsi"/>
          <w:sz w:val="24"/>
          <w:szCs w:val="24"/>
        </w:rPr>
        <w:t xml:space="preserve"> rate among different species were calculated. </w:t>
      </w:r>
      <w:r w:rsidR="00FC4230" w:rsidRPr="00F314C1">
        <w:rPr>
          <w:rFonts w:asciiTheme="minorHAnsi" w:hAnsiTheme="minorHAnsi"/>
          <w:sz w:val="24"/>
          <w:szCs w:val="24"/>
        </w:rPr>
        <w:t>The consumption</w:t>
      </w:r>
      <w:r w:rsidRPr="00F314C1">
        <w:rPr>
          <w:rFonts w:asciiTheme="minorHAnsi" w:hAnsiTheme="minorHAnsi"/>
          <w:sz w:val="24"/>
          <w:szCs w:val="24"/>
        </w:rPr>
        <w:t xml:space="preserve"> rates for the composite diet and those for the four villages</w:t>
      </w:r>
      <w:r w:rsidR="00FC4230" w:rsidRPr="00F314C1">
        <w:rPr>
          <w:rFonts w:asciiTheme="minorHAnsi" w:hAnsiTheme="minorHAnsi"/>
          <w:sz w:val="24"/>
          <w:szCs w:val="24"/>
        </w:rPr>
        <w:t xml:space="preserve"> represent</w:t>
      </w:r>
      <w:r w:rsidRPr="00F314C1">
        <w:rPr>
          <w:rFonts w:asciiTheme="minorHAnsi" w:hAnsiTheme="minorHAnsi"/>
          <w:sz w:val="24"/>
          <w:szCs w:val="24"/>
        </w:rPr>
        <w:t xml:space="preserve"> the seafood diet of an average adult</w:t>
      </w:r>
      <w:r w:rsidR="00FC4230" w:rsidRPr="00F314C1">
        <w:rPr>
          <w:rFonts w:asciiTheme="minorHAnsi" w:hAnsiTheme="minorHAnsi"/>
          <w:sz w:val="24"/>
          <w:szCs w:val="24"/>
        </w:rPr>
        <w:t xml:space="preserve"> Aleut in Alaska. </w:t>
      </w:r>
    </w:p>
    <w:p w14:paraId="6498804F" w14:textId="77777777" w:rsidR="00DD4E1D" w:rsidRPr="00F314C1" w:rsidRDefault="00DD4E1D" w:rsidP="00C379D4">
      <w:pPr>
        <w:pStyle w:val="Heading4"/>
        <w:jc w:val="both"/>
        <w:rPr>
          <w:sz w:val="24"/>
          <w:szCs w:val="24"/>
        </w:rPr>
      </w:pPr>
      <w:r w:rsidRPr="00F314C1">
        <w:rPr>
          <w:sz w:val="24"/>
          <w:szCs w:val="24"/>
        </w:rPr>
        <w:t>QA/QC Procedures</w:t>
      </w:r>
    </w:p>
    <w:p w14:paraId="64988050" w14:textId="7AC0A21F" w:rsidR="007B06E5" w:rsidRPr="00F314C1" w:rsidRDefault="007B06E5" w:rsidP="00C379D4">
      <w:pPr>
        <w:jc w:val="both"/>
        <w:rPr>
          <w:rFonts w:asciiTheme="minorHAnsi" w:hAnsiTheme="minorHAnsi"/>
          <w:sz w:val="24"/>
          <w:szCs w:val="24"/>
        </w:rPr>
      </w:pPr>
      <w:r w:rsidRPr="00F314C1">
        <w:rPr>
          <w:rFonts w:asciiTheme="minorHAnsi" w:hAnsiTheme="minorHAnsi"/>
          <w:sz w:val="24"/>
          <w:szCs w:val="24"/>
        </w:rPr>
        <w:t xml:space="preserve">QA/QC procedures </w:t>
      </w:r>
      <w:r w:rsidR="005C2F69" w:rsidRPr="00F314C1">
        <w:rPr>
          <w:rFonts w:asciiTheme="minorHAnsi" w:hAnsiTheme="minorHAnsi"/>
          <w:sz w:val="24"/>
          <w:szCs w:val="24"/>
        </w:rPr>
        <w:t xml:space="preserve">utilized in the </w:t>
      </w:r>
      <w:r w:rsidRPr="00F314C1">
        <w:rPr>
          <w:rFonts w:asciiTheme="minorHAnsi" w:hAnsiTheme="minorHAnsi"/>
          <w:sz w:val="24"/>
          <w:szCs w:val="24"/>
        </w:rPr>
        <w:t xml:space="preserve">development of the average daily consumption rates per village and the composite diet were not </w:t>
      </w:r>
      <w:r w:rsidR="005C2F69" w:rsidRPr="00F314C1">
        <w:rPr>
          <w:rFonts w:asciiTheme="minorHAnsi" w:hAnsiTheme="minorHAnsi"/>
          <w:sz w:val="24"/>
          <w:szCs w:val="24"/>
        </w:rPr>
        <w:t>documented in the report</w:t>
      </w:r>
      <w:r w:rsidRPr="00F314C1">
        <w:rPr>
          <w:rFonts w:asciiTheme="minorHAnsi" w:hAnsiTheme="minorHAnsi"/>
          <w:sz w:val="24"/>
          <w:szCs w:val="24"/>
        </w:rPr>
        <w:t>.</w:t>
      </w:r>
    </w:p>
    <w:p w14:paraId="64988051" w14:textId="77777777" w:rsidR="00DD4E1D" w:rsidRPr="00F314C1" w:rsidRDefault="00DD4E1D" w:rsidP="00C379D4">
      <w:pPr>
        <w:pStyle w:val="Heading4"/>
        <w:keepNext/>
        <w:jc w:val="both"/>
        <w:rPr>
          <w:sz w:val="24"/>
          <w:szCs w:val="24"/>
        </w:rPr>
      </w:pPr>
      <w:r w:rsidRPr="00F314C1">
        <w:rPr>
          <w:sz w:val="24"/>
          <w:szCs w:val="24"/>
        </w:rPr>
        <w:t xml:space="preserve">Findings on Fish Consumption </w:t>
      </w:r>
    </w:p>
    <w:p w14:paraId="64988052" w14:textId="36ACE58D" w:rsidR="007B06E5" w:rsidRPr="00F314C1" w:rsidRDefault="007B06E5" w:rsidP="00C379D4">
      <w:pPr>
        <w:keepNext/>
        <w:jc w:val="both"/>
        <w:rPr>
          <w:rFonts w:asciiTheme="minorHAnsi" w:hAnsiTheme="minorHAnsi"/>
          <w:sz w:val="24"/>
          <w:szCs w:val="24"/>
        </w:rPr>
      </w:pPr>
      <w:r w:rsidRPr="00F314C1">
        <w:rPr>
          <w:rFonts w:asciiTheme="minorHAnsi" w:hAnsiTheme="minorHAnsi"/>
          <w:sz w:val="24"/>
          <w:szCs w:val="24"/>
        </w:rPr>
        <w:t>The report demonstrate</w:t>
      </w:r>
      <w:r w:rsidR="005C2F69" w:rsidRPr="00F314C1">
        <w:rPr>
          <w:rFonts w:asciiTheme="minorHAnsi" w:hAnsiTheme="minorHAnsi"/>
          <w:sz w:val="24"/>
          <w:szCs w:val="24"/>
        </w:rPr>
        <w:t>s</w:t>
      </w:r>
      <w:r w:rsidRPr="00F314C1">
        <w:rPr>
          <w:rFonts w:asciiTheme="minorHAnsi" w:hAnsiTheme="minorHAnsi"/>
          <w:sz w:val="24"/>
          <w:szCs w:val="24"/>
        </w:rPr>
        <w:t xml:space="preserve"> a wide range of average daily consumption between villages and the types of fish eaten in each village. Daily consumption ranged from an average of 10 g/day in St. Paul to 520 g/day in </w:t>
      </w:r>
      <w:proofErr w:type="spellStart"/>
      <w:r w:rsidRPr="00F314C1">
        <w:rPr>
          <w:rFonts w:asciiTheme="minorHAnsi" w:hAnsiTheme="minorHAnsi"/>
          <w:sz w:val="24"/>
          <w:szCs w:val="24"/>
        </w:rPr>
        <w:t>Nikolski</w:t>
      </w:r>
      <w:proofErr w:type="spellEnd"/>
      <w:r w:rsidRPr="00F314C1">
        <w:rPr>
          <w:rFonts w:asciiTheme="minorHAnsi" w:hAnsiTheme="minorHAnsi"/>
          <w:sz w:val="24"/>
          <w:szCs w:val="24"/>
        </w:rPr>
        <w:t xml:space="preserve">. Three of the four villages reported that salmon comprised the highest proportion of their seafood diet, while St. Paul reported halibut as the high proportion of seafood </w:t>
      </w:r>
      <w:r w:rsidR="005C2F69" w:rsidRPr="00F314C1">
        <w:rPr>
          <w:rFonts w:asciiTheme="minorHAnsi" w:hAnsiTheme="minorHAnsi"/>
          <w:sz w:val="24"/>
          <w:szCs w:val="24"/>
        </w:rPr>
        <w:t>consumed</w:t>
      </w:r>
      <w:r w:rsidR="00D6550B" w:rsidRPr="00F314C1">
        <w:rPr>
          <w:rFonts w:asciiTheme="minorHAnsi" w:hAnsiTheme="minorHAnsi"/>
          <w:sz w:val="24"/>
          <w:szCs w:val="24"/>
        </w:rPr>
        <w:t>. The composite data of the four villages resulted in an average daily intake rate of 100 g/day including 49 g/day of salmon.</w:t>
      </w:r>
    </w:p>
    <w:p w14:paraId="64988053" w14:textId="1A8D5B0F" w:rsidR="00DD4E1D" w:rsidRPr="00F314C1" w:rsidRDefault="00DD4E1D" w:rsidP="00C379D4">
      <w:pPr>
        <w:pStyle w:val="Heading4"/>
        <w:jc w:val="both"/>
        <w:rPr>
          <w:sz w:val="24"/>
          <w:szCs w:val="24"/>
        </w:rPr>
      </w:pPr>
      <w:r w:rsidRPr="00F314C1">
        <w:rPr>
          <w:sz w:val="24"/>
          <w:szCs w:val="24"/>
        </w:rPr>
        <w:t xml:space="preserve">Applicability of the Data for use in Determining </w:t>
      </w:r>
      <w:r w:rsidR="007F6D08" w:rsidRPr="00F314C1">
        <w:rPr>
          <w:sz w:val="24"/>
          <w:szCs w:val="24"/>
        </w:rPr>
        <w:t>FCR</w:t>
      </w:r>
      <w:r w:rsidRPr="00F314C1">
        <w:rPr>
          <w:sz w:val="24"/>
          <w:szCs w:val="24"/>
        </w:rPr>
        <w:t>s</w:t>
      </w:r>
    </w:p>
    <w:p w14:paraId="64988054" w14:textId="69FA9DFE" w:rsidR="00D6550B" w:rsidRPr="00F314C1" w:rsidRDefault="00D6550B" w:rsidP="00C379D4">
      <w:pPr>
        <w:jc w:val="both"/>
        <w:rPr>
          <w:rFonts w:asciiTheme="minorHAnsi" w:hAnsiTheme="minorHAnsi"/>
          <w:sz w:val="24"/>
          <w:szCs w:val="24"/>
        </w:rPr>
      </w:pPr>
      <w:r w:rsidRPr="00F314C1">
        <w:rPr>
          <w:rFonts w:asciiTheme="minorHAnsi" w:hAnsiTheme="minorHAnsi"/>
          <w:sz w:val="24"/>
          <w:szCs w:val="24"/>
        </w:rPr>
        <w:t xml:space="preserve">This report provides a useful example of how data from multiple studies can be used to evaluate consumption rates for a region. </w:t>
      </w:r>
      <w:r w:rsidR="000B5D9E" w:rsidRPr="00F314C1">
        <w:rPr>
          <w:rFonts w:asciiTheme="minorHAnsi" w:hAnsiTheme="minorHAnsi"/>
          <w:sz w:val="24"/>
          <w:szCs w:val="24"/>
        </w:rPr>
        <w:t>The study takes a conservative approach by developing composite consumption values from the four villages, but also retain</w:t>
      </w:r>
      <w:r w:rsidR="00F756CE" w:rsidRPr="00F314C1">
        <w:rPr>
          <w:rFonts w:asciiTheme="minorHAnsi" w:hAnsiTheme="minorHAnsi"/>
          <w:sz w:val="24"/>
          <w:szCs w:val="24"/>
        </w:rPr>
        <w:t>s</w:t>
      </w:r>
      <w:r w:rsidR="000B5D9E" w:rsidRPr="00F314C1">
        <w:rPr>
          <w:rFonts w:asciiTheme="minorHAnsi" w:hAnsiTheme="minorHAnsi"/>
          <w:sz w:val="24"/>
          <w:szCs w:val="24"/>
        </w:rPr>
        <w:t xml:space="preserve"> the village level consumption information to use as a range of potential consumption values.</w:t>
      </w:r>
      <w:r w:rsidR="00F756CE" w:rsidRPr="00F314C1">
        <w:rPr>
          <w:rFonts w:asciiTheme="minorHAnsi" w:hAnsiTheme="minorHAnsi"/>
          <w:sz w:val="24"/>
          <w:szCs w:val="24"/>
        </w:rPr>
        <w:t xml:space="preserve"> T</w:t>
      </w:r>
      <w:r w:rsidR="000B5D9E" w:rsidRPr="00F314C1">
        <w:rPr>
          <w:rFonts w:asciiTheme="minorHAnsi" w:hAnsiTheme="minorHAnsi"/>
          <w:sz w:val="24"/>
          <w:szCs w:val="24"/>
        </w:rPr>
        <w:t>he comparison of the village level data and the composite values highlights the differences in quantity and type of seafood consumed even within a single region</w:t>
      </w:r>
      <w:r w:rsidR="00DC3EF9" w:rsidRPr="00F314C1">
        <w:rPr>
          <w:rFonts w:asciiTheme="minorHAnsi" w:hAnsiTheme="minorHAnsi"/>
          <w:sz w:val="24"/>
          <w:szCs w:val="24"/>
        </w:rPr>
        <w:t>,</w:t>
      </w:r>
      <w:r w:rsidR="000B5D9E" w:rsidRPr="00F314C1">
        <w:rPr>
          <w:rFonts w:asciiTheme="minorHAnsi" w:hAnsiTheme="minorHAnsi"/>
          <w:sz w:val="24"/>
          <w:szCs w:val="24"/>
        </w:rPr>
        <w:t xml:space="preserve"> among residents of similar cultural background. </w:t>
      </w:r>
      <w:r w:rsidR="00DC3EF9" w:rsidRPr="00F314C1">
        <w:rPr>
          <w:rFonts w:asciiTheme="minorHAnsi" w:hAnsiTheme="minorHAnsi"/>
          <w:sz w:val="24"/>
          <w:szCs w:val="24"/>
        </w:rPr>
        <w:t xml:space="preserve">One </w:t>
      </w:r>
      <w:r w:rsidR="00F756CE" w:rsidRPr="00F314C1">
        <w:rPr>
          <w:rFonts w:asciiTheme="minorHAnsi" w:hAnsiTheme="minorHAnsi"/>
          <w:sz w:val="24"/>
          <w:szCs w:val="24"/>
        </w:rPr>
        <w:t>limitation to the</w:t>
      </w:r>
      <w:r w:rsidR="00DC3EF9" w:rsidRPr="00F314C1">
        <w:rPr>
          <w:rFonts w:asciiTheme="minorHAnsi" w:hAnsiTheme="minorHAnsi"/>
          <w:sz w:val="24"/>
          <w:szCs w:val="24"/>
        </w:rPr>
        <w:t xml:space="preserve"> aggregate approach </w:t>
      </w:r>
      <w:r w:rsidR="00F756CE" w:rsidRPr="00F314C1">
        <w:rPr>
          <w:rFonts w:asciiTheme="minorHAnsi" w:hAnsiTheme="minorHAnsi"/>
          <w:sz w:val="24"/>
          <w:szCs w:val="24"/>
        </w:rPr>
        <w:t xml:space="preserve">is </w:t>
      </w:r>
      <w:r w:rsidR="00DC3EF9" w:rsidRPr="00F314C1">
        <w:rPr>
          <w:rFonts w:asciiTheme="minorHAnsi" w:hAnsiTheme="minorHAnsi"/>
          <w:sz w:val="24"/>
          <w:szCs w:val="24"/>
        </w:rPr>
        <w:t xml:space="preserve">that some specificity on the species of seafood consumed </w:t>
      </w:r>
      <w:r w:rsidR="00F756CE" w:rsidRPr="00F314C1">
        <w:rPr>
          <w:rFonts w:asciiTheme="minorHAnsi" w:hAnsiTheme="minorHAnsi"/>
          <w:sz w:val="24"/>
          <w:szCs w:val="24"/>
        </w:rPr>
        <w:t xml:space="preserve">is </w:t>
      </w:r>
      <w:r w:rsidR="00DC3EF9" w:rsidRPr="00F314C1">
        <w:rPr>
          <w:rFonts w:asciiTheme="minorHAnsi" w:hAnsiTheme="minorHAnsi"/>
          <w:sz w:val="24"/>
          <w:szCs w:val="24"/>
        </w:rPr>
        <w:t xml:space="preserve">lost due to variation in the data collection methods. </w:t>
      </w:r>
    </w:p>
    <w:p w14:paraId="64988055" w14:textId="77777777" w:rsidR="00D6550B" w:rsidRPr="00F314C1" w:rsidRDefault="00BC6411" w:rsidP="00C379D4">
      <w:pPr>
        <w:pStyle w:val="Heading1"/>
        <w:jc w:val="both"/>
        <w:rPr>
          <w:sz w:val="24"/>
          <w:szCs w:val="24"/>
        </w:rPr>
      </w:pPr>
      <w:bookmarkStart w:id="56" w:name="_Toc391035976"/>
      <w:r w:rsidRPr="00F314C1">
        <w:rPr>
          <w:sz w:val="24"/>
          <w:szCs w:val="24"/>
        </w:rPr>
        <w:lastRenderedPageBreak/>
        <w:t>Harvest Assessment</w:t>
      </w:r>
      <w:r w:rsidR="007B3D53" w:rsidRPr="00F314C1">
        <w:rPr>
          <w:sz w:val="24"/>
          <w:szCs w:val="24"/>
        </w:rPr>
        <w:t xml:space="preserve"> Data</w:t>
      </w:r>
      <w:bookmarkEnd w:id="56"/>
    </w:p>
    <w:p w14:paraId="64988056" w14:textId="1FC38F2B" w:rsidR="002D31C7" w:rsidRPr="00F314C1" w:rsidRDefault="002D31C7" w:rsidP="00C379D4">
      <w:pPr>
        <w:jc w:val="both"/>
        <w:rPr>
          <w:rFonts w:asciiTheme="minorHAnsi" w:hAnsiTheme="minorHAnsi"/>
          <w:sz w:val="24"/>
          <w:szCs w:val="24"/>
        </w:rPr>
      </w:pPr>
      <w:r w:rsidRPr="00F314C1">
        <w:rPr>
          <w:rFonts w:asciiTheme="minorHAnsi" w:hAnsiTheme="minorHAnsi"/>
          <w:sz w:val="24"/>
          <w:szCs w:val="24"/>
        </w:rPr>
        <w:t xml:space="preserve">Harvest data </w:t>
      </w:r>
      <w:r w:rsidR="00F756CE" w:rsidRPr="00F314C1">
        <w:rPr>
          <w:rFonts w:asciiTheme="minorHAnsi" w:hAnsiTheme="minorHAnsi"/>
          <w:sz w:val="24"/>
          <w:szCs w:val="24"/>
        </w:rPr>
        <w:t xml:space="preserve">are </w:t>
      </w:r>
      <w:r w:rsidRPr="00F314C1">
        <w:rPr>
          <w:rFonts w:asciiTheme="minorHAnsi" w:hAnsiTheme="minorHAnsi"/>
          <w:sz w:val="24"/>
          <w:szCs w:val="24"/>
        </w:rPr>
        <w:t xml:space="preserve">another potential source of information </w:t>
      </w:r>
      <w:r w:rsidR="00F756CE" w:rsidRPr="00F314C1">
        <w:rPr>
          <w:rFonts w:asciiTheme="minorHAnsi" w:hAnsiTheme="minorHAnsi"/>
          <w:sz w:val="24"/>
          <w:szCs w:val="24"/>
        </w:rPr>
        <w:t xml:space="preserve">that </w:t>
      </w:r>
      <w:r w:rsidRPr="00F314C1">
        <w:rPr>
          <w:rFonts w:asciiTheme="minorHAnsi" w:hAnsiTheme="minorHAnsi"/>
          <w:sz w:val="24"/>
          <w:szCs w:val="24"/>
        </w:rPr>
        <w:t xml:space="preserve">can be used to develop </w:t>
      </w:r>
      <w:r w:rsidR="00D31726">
        <w:rPr>
          <w:rFonts w:asciiTheme="minorHAnsi" w:hAnsiTheme="minorHAnsi"/>
          <w:sz w:val="24"/>
          <w:szCs w:val="24"/>
        </w:rPr>
        <w:t>HHC</w:t>
      </w:r>
      <w:r w:rsidRPr="00F314C1">
        <w:rPr>
          <w:rFonts w:asciiTheme="minorHAnsi" w:hAnsiTheme="minorHAnsi"/>
          <w:sz w:val="24"/>
          <w:szCs w:val="24"/>
        </w:rPr>
        <w:t xml:space="preserve">. While states often have programs </w:t>
      </w:r>
      <w:r w:rsidR="00F756CE" w:rsidRPr="00F314C1">
        <w:rPr>
          <w:rFonts w:asciiTheme="minorHAnsi" w:hAnsiTheme="minorHAnsi"/>
          <w:sz w:val="24"/>
          <w:szCs w:val="24"/>
        </w:rPr>
        <w:t xml:space="preserve">in place </w:t>
      </w:r>
      <w:r w:rsidRPr="00F314C1">
        <w:rPr>
          <w:rFonts w:asciiTheme="minorHAnsi" w:hAnsiTheme="minorHAnsi"/>
          <w:sz w:val="24"/>
          <w:szCs w:val="24"/>
        </w:rPr>
        <w:t>to monitor fish catch activity, multiple considerations must be taken into account when using fish harvest data to estimate consumption</w:t>
      </w:r>
      <w:r w:rsidR="00F756CE" w:rsidRPr="00F314C1">
        <w:rPr>
          <w:rFonts w:asciiTheme="minorHAnsi" w:hAnsiTheme="minorHAnsi"/>
          <w:sz w:val="24"/>
          <w:szCs w:val="24"/>
        </w:rPr>
        <w:t xml:space="preserve"> rates</w:t>
      </w:r>
      <w:r w:rsidRPr="00F314C1">
        <w:rPr>
          <w:rFonts w:asciiTheme="minorHAnsi" w:hAnsiTheme="minorHAnsi"/>
          <w:sz w:val="24"/>
          <w:szCs w:val="24"/>
        </w:rPr>
        <w:t xml:space="preserve">. A determination must be made as to what portion of the fish are kept and consumed, what the usable weight of the harvest is, and how that harvest </w:t>
      </w:r>
      <w:r w:rsidR="00F756CE" w:rsidRPr="00F314C1">
        <w:rPr>
          <w:rFonts w:asciiTheme="minorHAnsi" w:hAnsiTheme="minorHAnsi"/>
          <w:sz w:val="24"/>
          <w:szCs w:val="24"/>
        </w:rPr>
        <w:t xml:space="preserve">may </w:t>
      </w:r>
      <w:r w:rsidRPr="00F314C1">
        <w:rPr>
          <w:rFonts w:asciiTheme="minorHAnsi" w:hAnsiTheme="minorHAnsi"/>
          <w:sz w:val="24"/>
          <w:szCs w:val="24"/>
        </w:rPr>
        <w:t>be shared among households (Kissinger, 2014)</w:t>
      </w:r>
      <w:r w:rsidR="00F756CE" w:rsidRPr="00F314C1">
        <w:rPr>
          <w:rFonts w:asciiTheme="minorHAnsi" w:hAnsiTheme="minorHAnsi"/>
          <w:sz w:val="24"/>
          <w:szCs w:val="24"/>
        </w:rPr>
        <w:t>.</w:t>
      </w:r>
    </w:p>
    <w:p w14:paraId="64988057" w14:textId="61050807" w:rsidR="004F279A" w:rsidRPr="00F314C1" w:rsidRDefault="00563F45" w:rsidP="00C379D4">
      <w:pPr>
        <w:pStyle w:val="Heading4"/>
        <w:jc w:val="both"/>
        <w:rPr>
          <w:sz w:val="24"/>
          <w:szCs w:val="24"/>
        </w:rPr>
      </w:pPr>
      <w:r w:rsidRPr="00F314C1">
        <w:rPr>
          <w:sz w:val="24"/>
          <w:szCs w:val="24"/>
        </w:rPr>
        <w:t>General</w:t>
      </w:r>
      <w:r w:rsidR="001E63A3" w:rsidRPr="00F314C1">
        <w:rPr>
          <w:sz w:val="24"/>
          <w:szCs w:val="24"/>
        </w:rPr>
        <w:t xml:space="preserve"> Overview</w:t>
      </w:r>
    </w:p>
    <w:p w14:paraId="64988058" w14:textId="4EBF9A07" w:rsidR="004F279A" w:rsidRPr="00F314C1" w:rsidRDefault="004F279A" w:rsidP="00C379D4">
      <w:pPr>
        <w:jc w:val="both"/>
        <w:rPr>
          <w:rFonts w:asciiTheme="minorHAnsi" w:hAnsiTheme="minorHAnsi"/>
          <w:sz w:val="24"/>
          <w:szCs w:val="24"/>
        </w:rPr>
      </w:pPr>
      <w:r w:rsidRPr="00F314C1">
        <w:rPr>
          <w:rFonts w:asciiTheme="minorHAnsi" w:hAnsiTheme="minorHAnsi"/>
          <w:sz w:val="24"/>
          <w:szCs w:val="24"/>
        </w:rPr>
        <w:t xml:space="preserve">The </w:t>
      </w:r>
      <w:r w:rsidR="00103F2B" w:rsidRPr="00F314C1">
        <w:rPr>
          <w:rFonts w:asciiTheme="minorHAnsi" w:hAnsiTheme="minorHAnsi"/>
          <w:sz w:val="24"/>
          <w:szCs w:val="24"/>
        </w:rPr>
        <w:t>ADF&amp;G</w:t>
      </w:r>
      <w:r w:rsidRPr="00F314C1">
        <w:rPr>
          <w:rFonts w:asciiTheme="minorHAnsi" w:hAnsiTheme="minorHAnsi"/>
          <w:sz w:val="24"/>
          <w:szCs w:val="24"/>
        </w:rPr>
        <w:t xml:space="preserve"> </w:t>
      </w:r>
      <w:r w:rsidR="001C7187" w:rsidRPr="00F314C1">
        <w:rPr>
          <w:rFonts w:asciiTheme="minorHAnsi" w:hAnsiTheme="minorHAnsi"/>
          <w:sz w:val="24"/>
          <w:szCs w:val="24"/>
        </w:rPr>
        <w:t>is the principle</w:t>
      </w:r>
      <w:r w:rsidRPr="00F314C1">
        <w:rPr>
          <w:rFonts w:asciiTheme="minorHAnsi" w:hAnsiTheme="minorHAnsi"/>
          <w:sz w:val="24"/>
          <w:szCs w:val="24"/>
        </w:rPr>
        <w:t xml:space="preserve"> source of fish and seafood harvest data in Alaska. </w:t>
      </w:r>
      <w:r w:rsidR="001C7187" w:rsidRPr="00F314C1">
        <w:rPr>
          <w:rFonts w:asciiTheme="minorHAnsi" w:hAnsiTheme="minorHAnsi"/>
          <w:sz w:val="24"/>
          <w:szCs w:val="24"/>
        </w:rPr>
        <w:t xml:space="preserve">Harvest data </w:t>
      </w:r>
      <w:r w:rsidR="00B55E6C" w:rsidRPr="00F314C1">
        <w:rPr>
          <w:rFonts w:asciiTheme="minorHAnsi" w:hAnsiTheme="minorHAnsi"/>
          <w:sz w:val="24"/>
          <w:szCs w:val="24"/>
        </w:rPr>
        <w:t xml:space="preserve">are </w:t>
      </w:r>
      <w:r w:rsidR="001C7187" w:rsidRPr="00F314C1">
        <w:rPr>
          <w:rFonts w:asciiTheme="minorHAnsi" w:hAnsiTheme="minorHAnsi"/>
          <w:sz w:val="24"/>
          <w:szCs w:val="24"/>
        </w:rPr>
        <w:t>collected and reported by multiple di</w:t>
      </w:r>
      <w:r w:rsidR="007E73BC" w:rsidRPr="00F314C1">
        <w:rPr>
          <w:rFonts w:asciiTheme="minorHAnsi" w:hAnsiTheme="minorHAnsi"/>
          <w:sz w:val="24"/>
          <w:szCs w:val="24"/>
        </w:rPr>
        <w:t>visions within the department (</w:t>
      </w:r>
      <w:proofErr w:type="gramStart"/>
      <w:r w:rsidR="007E73BC" w:rsidRPr="00F314C1">
        <w:rPr>
          <w:rFonts w:asciiTheme="minorHAnsi" w:hAnsiTheme="minorHAnsi"/>
          <w:sz w:val="24"/>
          <w:szCs w:val="24"/>
        </w:rPr>
        <w:t>Fall</w:t>
      </w:r>
      <w:proofErr w:type="gramEnd"/>
      <w:r w:rsidR="007E73BC" w:rsidRPr="00F314C1">
        <w:rPr>
          <w:rFonts w:asciiTheme="minorHAnsi" w:hAnsiTheme="minorHAnsi"/>
          <w:sz w:val="24"/>
          <w:szCs w:val="24"/>
        </w:rPr>
        <w:t>, 201</w:t>
      </w:r>
      <w:r w:rsidR="0005449C" w:rsidRPr="00F314C1">
        <w:rPr>
          <w:rFonts w:asciiTheme="minorHAnsi" w:hAnsiTheme="minorHAnsi"/>
          <w:sz w:val="24"/>
          <w:szCs w:val="24"/>
        </w:rPr>
        <w:t>1</w:t>
      </w:r>
      <w:r w:rsidR="00042ED0" w:rsidRPr="00F314C1">
        <w:rPr>
          <w:rFonts w:asciiTheme="minorHAnsi" w:hAnsiTheme="minorHAnsi"/>
          <w:sz w:val="24"/>
          <w:szCs w:val="24"/>
        </w:rPr>
        <w:t>)</w:t>
      </w:r>
      <w:r w:rsidR="00B55E6C" w:rsidRPr="00F314C1">
        <w:rPr>
          <w:rFonts w:asciiTheme="minorHAnsi" w:hAnsiTheme="minorHAnsi"/>
          <w:sz w:val="24"/>
          <w:szCs w:val="24"/>
        </w:rPr>
        <w:t>, including the following</w:t>
      </w:r>
      <w:r w:rsidR="00042ED0" w:rsidRPr="00F314C1">
        <w:rPr>
          <w:rFonts w:asciiTheme="minorHAnsi" w:hAnsiTheme="minorHAnsi"/>
          <w:sz w:val="24"/>
          <w:szCs w:val="24"/>
        </w:rPr>
        <w:t>:</w:t>
      </w:r>
    </w:p>
    <w:p w14:paraId="64988059" w14:textId="7525790D" w:rsidR="001C7187" w:rsidRPr="00F314C1" w:rsidRDefault="001C7187" w:rsidP="00C379D4">
      <w:pPr>
        <w:pStyle w:val="ListParagraph"/>
        <w:numPr>
          <w:ilvl w:val="0"/>
          <w:numId w:val="4"/>
        </w:numPr>
        <w:jc w:val="both"/>
        <w:rPr>
          <w:rFonts w:asciiTheme="minorHAnsi" w:hAnsiTheme="minorHAnsi"/>
          <w:sz w:val="24"/>
          <w:szCs w:val="24"/>
        </w:rPr>
      </w:pPr>
      <w:r w:rsidRPr="00F314C1">
        <w:rPr>
          <w:rFonts w:asciiTheme="minorHAnsi" w:hAnsiTheme="minorHAnsi"/>
          <w:sz w:val="24"/>
          <w:szCs w:val="24"/>
        </w:rPr>
        <w:t>The Division of Commercial Fisheries prepares annual Fishery Management Reports</w:t>
      </w:r>
      <w:r w:rsidR="007D7FAC" w:rsidRPr="00F314C1">
        <w:rPr>
          <w:rFonts w:asciiTheme="minorHAnsi" w:hAnsiTheme="minorHAnsi"/>
          <w:sz w:val="24"/>
          <w:szCs w:val="24"/>
        </w:rPr>
        <w:t xml:space="preserve"> (FMRs)</w:t>
      </w:r>
      <w:r w:rsidRPr="00F314C1">
        <w:rPr>
          <w:rFonts w:asciiTheme="minorHAnsi" w:hAnsiTheme="minorHAnsi"/>
          <w:sz w:val="24"/>
          <w:szCs w:val="24"/>
        </w:rPr>
        <w:t xml:space="preserve"> for most fishery management areas in the state. The FMRs focus on commercial fisheries, but also routinely summarize basic data for the programs that collect harvest data for subsistence fisheries and p</w:t>
      </w:r>
      <w:r w:rsidR="002D31C7" w:rsidRPr="00F314C1">
        <w:rPr>
          <w:rFonts w:asciiTheme="minorHAnsi" w:hAnsiTheme="minorHAnsi"/>
          <w:sz w:val="24"/>
          <w:szCs w:val="24"/>
        </w:rPr>
        <w:t>ersonal use fisheries that the d</w:t>
      </w:r>
      <w:r w:rsidRPr="00F314C1">
        <w:rPr>
          <w:rFonts w:asciiTheme="minorHAnsi" w:hAnsiTheme="minorHAnsi"/>
          <w:sz w:val="24"/>
          <w:szCs w:val="24"/>
        </w:rPr>
        <w:t>ivision administers. An</w:t>
      </w:r>
      <w:r w:rsidR="002D31C7" w:rsidRPr="00F314C1">
        <w:rPr>
          <w:rFonts w:asciiTheme="minorHAnsi" w:hAnsiTheme="minorHAnsi"/>
          <w:sz w:val="24"/>
          <w:szCs w:val="24"/>
        </w:rPr>
        <w:t>nual reports about Subsistence Fishers Harvest Assessment Programs are prepared for</w:t>
      </w:r>
      <w:r w:rsidRPr="00F314C1">
        <w:rPr>
          <w:rFonts w:asciiTheme="minorHAnsi" w:hAnsiTheme="minorHAnsi"/>
          <w:sz w:val="24"/>
          <w:szCs w:val="24"/>
        </w:rPr>
        <w:t xml:space="preserve"> the Northwest Alaska, Yukon River</w:t>
      </w:r>
      <w:r w:rsidR="00B55E6C" w:rsidRPr="00F314C1">
        <w:rPr>
          <w:rFonts w:asciiTheme="minorHAnsi" w:hAnsiTheme="minorHAnsi"/>
          <w:sz w:val="24"/>
          <w:szCs w:val="24"/>
        </w:rPr>
        <w:t>,</w:t>
      </w:r>
      <w:r w:rsidRPr="00F314C1">
        <w:rPr>
          <w:rFonts w:asciiTheme="minorHAnsi" w:hAnsiTheme="minorHAnsi"/>
          <w:sz w:val="24"/>
          <w:szCs w:val="24"/>
        </w:rPr>
        <w:t xml:space="preserve"> and Kuskokwim River areas.</w:t>
      </w:r>
    </w:p>
    <w:p w14:paraId="6498805A" w14:textId="77777777" w:rsidR="001C7187" w:rsidRPr="00F314C1" w:rsidRDefault="001C7187" w:rsidP="00C379D4">
      <w:pPr>
        <w:pStyle w:val="ListParagraph"/>
        <w:numPr>
          <w:ilvl w:val="0"/>
          <w:numId w:val="4"/>
        </w:numPr>
        <w:jc w:val="both"/>
        <w:rPr>
          <w:rFonts w:asciiTheme="minorHAnsi" w:hAnsiTheme="minorHAnsi"/>
          <w:sz w:val="24"/>
          <w:szCs w:val="24"/>
        </w:rPr>
      </w:pPr>
      <w:r w:rsidRPr="00F314C1">
        <w:rPr>
          <w:rFonts w:asciiTheme="minorHAnsi" w:hAnsiTheme="minorHAnsi"/>
          <w:sz w:val="24"/>
          <w:szCs w:val="24"/>
        </w:rPr>
        <w:t>The Division of Sport Fish prepares summaries for the personal use salmon fisheries it administers in the Cook Inlet and Prince William Sound (Upper Copper River) areas.</w:t>
      </w:r>
    </w:p>
    <w:p w14:paraId="6498805B" w14:textId="05F391F7" w:rsidR="00BC6411" w:rsidRPr="00F314C1" w:rsidRDefault="00BC6411" w:rsidP="00C379D4">
      <w:pPr>
        <w:pStyle w:val="ListParagraph"/>
        <w:numPr>
          <w:ilvl w:val="0"/>
          <w:numId w:val="4"/>
        </w:numPr>
        <w:jc w:val="both"/>
        <w:rPr>
          <w:rFonts w:asciiTheme="minorHAnsi" w:hAnsiTheme="minorHAnsi"/>
          <w:sz w:val="24"/>
          <w:szCs w:val="24"/>
        </w:rPr>
      </w:pPr>
      <w:r w:rsidRPr="00F314C1">
        <w:rPr>
          <w:rFonts w:asciiTheme="minorHAnsi" w:hAnsiTheme="minorHAnsi"/>
          <w:sz w:val="24"/>
          <w:szCs w:val="24"/>
        </w:rPr>
        <w:t>The Division of Subsistence produces three final products</w:t>
      </w:r>
      <w:r w:rsidR="00B55E6C" w:rsidRPr="00F314C1">
        <w:rPr>
          <w:rFonts w:asciiTheme="minorHAnsi" w:hAnsiTheme="minorHAnsi"/>
          <w:sz w:val="24"/>
          <w:szCs w:val="24"/>
        </w:rPr>
        <w:t>:</w:t>
      </w:r>
      <w:r w:rsidRPr="00F314C1">
        <w:rPr>
          <w:rFonts w:asciiTheme="minorHAnsi" w:hAnsiTheme="minorHAnsi"/>
          <w:sz w:val="24"/>
          <w:szCs w:val="24"/>
        </w:rPr>
        <w:t xml:space="preserve"> reports in the Technical Paper Series and Special Publications Series, and two databases; the Community Subsistence Information System</w:t>
      </w:r>
      <w:r w:rsidR="00B55E6C" w:rsidRPr="00F314C1">
        <w:rPr>
          <w:rFonts w:asciiTheme="minorHAnsi" w:hAnsiTheme="minorHAnsi"/>
          <w:sz w:val="24"/>
          <w:szCs w:val="24"/>
        </w:rPr>
        <w:t>;</w:t>
      </w:r>
      <w:r w:rsidRPr="00F314C1">
        <w:rPr>
          <w:rFonts w:asciiTheme="minorHAnsi" w:hAnsiTheme="minorHAnsi"/>
          <w:sz w:val="24"/>
          <w:szCs w:val="24"/>
        </w:rPr>
        <w:t xml:space="preserve"> and the Alaska Subsistence Fisheries Database.</w:t>
      </w:r>
    </w:p>
    <w:p w14:paraId="6498805C" w14:textId="415ED394" w:rsidR="001C7187" w:rsidRPr="00F314C1" w:rsidRDefault="001C7187" w:rsidP="00C379D4">
      <w:pPr>
        <w:pStyle w:val="ListParagraph"/>
        <w:numPr>
          <w:ilvl w:val="1"/>
          <w:numId w:val="4"/>
        </w:numPr>
        <w:jc w:val="both"/>
        <w:rPr>
          <w:rFonts w:asciiTheme="minorHAnsi" w:hAnsiTheme="minorHAnsi"/>
          <w:sz w:val="24"/>
          <w:szCs w:val="24"/>
        </w:rPr>
      </w:pPr>
      <w:r w:rsidRPr="00F314C1">
        <w:rPr>
          <w:rFonts w:asciiTheme="minorHAnsi" w:hAnsiTheme="minorHAnsi"/>
          <w:sz w:val="24"/>
          <w:szCs w:val="24"/>
        </w:rPr>
        <w:t>Since 1999</w:t>
      </w:r>
      <w:r w:rsidR="00BC6411" w:rsidRPr="00F314C1">
        <w:rPr>
          <w:rFonts w:asciiTheme="minorHAnsi" w:hAnsiTheme="minorHAnsi"/>
          <w:sz w:val="24"/>
          <w:szCs w:val="24"/>
        </w:rPr>
        <w:t>, as part of its Technical Paper Series</w:t>
      </w:r>
      <w:r w:rsidR="00B55E6C" w:rsidRPr="00F314C1">
        <w:rPr>
          <w:rFonts w:asciiTheme="minorHAnsi" w:hAnsiTheme="minorHAnsi"/>
          <w:sz w:val="24"/>
          <w:szCs w:val="24"/>
        </w:rPr>
        <w:t>,</w:t>
      </w:r>
      <w:r w:rsidRPr="00F314C1">
        <w:rPr>
          <w:rFonts w:asciiTheme="minorHAnsi" w:hAnsiTheme="minorHAnsi"/>
          <w:sz w:val="24"/>
          <w:szCs w:val="24"/>
        </w:rPr>
        <w:t xml:space="preserve"> the Division of</w:t>
      </w:r>
      <w:r w:rsidR="002F4746" w:rsidRPr="00F314C1">
        <w:rPr>
          <w:rFonts w:asciiTheme="minorHAnsi" w:hAnsiTheme="minorHAnsi"/>
          <w:sz w:val="24"/>
          <w:szCs w:val="24"/>
        </w:rPr>
        <w:t xml:space="preserve"> Subsistence has published the Annual Subsistence F</w:t>
      </w:r>
      <w:r w:rsidRPr="00F314C1">
        <w:rPr>
          <w:rFonts w:asciiTheme="minorHAnsi" w:hAnsiTheme="minorHAnsi"/>
          <w:sz w:val="24"/>
          <w:szCs w:val="24"/>
        </w:rPr>
        <w:t>isher</w:t>
      </w:r>
      <w:r w:rsidR="002F4746" w:rsidRPr="00F314C1">
        <w:rPr>
          <w:rFonts w:asciiTheme="minorHAnsi" w:hAnsiTheme="minorHAnsi"/>
          <w:sz w:val="24"/>
          <w:szCs w:val="24"/>
        </w:rPr>
        <w:t>ies Report S</w:t>
      </w:r>
      <w:r w:rsidR="007D7FAC" w:rsidRPr="00F314C1">
        <w:rPr>
          <w:rFonts w:asciiTheme="minorHAnsi" w:hAnsiTheme="minorHAnsi"/>
          <w:sz w:val="24"/>
          <w:szCs w:val="24"/>
        </w:rPr>
        <w:t>eries</w:t>
      </w:r>
      <w:r w:rsidR="00B55E6C" w:rsidRPr="00F314C1">
        <w:rPr>
          <w:rFonts w:asciiTheme="minorHAnsi" w:hAnsiTheme="minorHAnsi"/>
          <w:sz w:val="24"/>
          <w:szCs w:val="24"/>
        </w:rPr>
        <w:t>,</w:t>
      </w:r>
      <w:r w:rsidR="007D7FAC" w:rsidRPr="00F314C1">
        <w:rPr>
          <w:rFonts w:asciiTheme="minorHAnsi" w:hAnsiTheme="minorHAnsi"/>
          <w:sz w:val="24"/>
          <w:szCs w:val="24"/>
        </w:rPr>
        <w:t xml:space="preserve"> which compiles</w:t>
      </w:r>
      <w:r w:rsidRPr="00F314C1">
        <w:rPr>
          <w:rFonts w:asciiTheme="minorHAnsi" w:hAnsiTheme="minorHAnsi"/>
          <w:sz w:val="24"/>
          <w:szCs w:val="24"/>
        </w:rPr>
        <w:t xml:space="preserve"> subsistence and personal use fisheries harvest data from all management areas.</w:t>
      </w:r>
    </w:p>
    <w:p w14:paraId="6498805E" w14:textId="0C77C2C4" w:rsidR="00563F45" w:rsidRPr="00F314C1" w:rsidRDefault="00563F45" w:rsidP="00C379D4">
      <w:pPr>
        <w:pStyle w:val="Heading4"/>
        <w:jc w:val="both"/>
        <w:rPr>
          <w:sz w:val="24"/>
          <w:szCs w:val="24"/>
        </w:rPr>
      </w:pPr>
      <w:r w:rsidRPr="00F314C1">
        <w:rPr>
          <w:sz w:val="24"/>
          <w:szCs w:val="24"/>
        </w:rPr>
        <w:t>Data Collection Methods</w:t>
      </w:r>
    </w:p>
    <w:p w14:paraId="6498805F" w14:textId="0067ABC8" w:rsidR="00563F45" w:rsidRPr="00F314C1" w:rsidRDefault="00563F45" w:rsidP="00C379D4">
      <w:pPr>
        <w:jc w:val="both"/>
        <w:rPr>
          <w:rFonts w:asciiTheme="minorHAnsi" w:hAnsiTheme="minorHAnsi"/>
          <w:sz w:val="24"/>
          <w:szCs w:val="24"/>
        </w:rPr>
      </w:pPr>
      <w:r w:rsidRPr="00F314C1">
        <w:rPr>
          <w:rFonts w:asciiTheme="minorHAnsi" w:hAnsiTheme="minorHAnsi"/>
          <w:sz w:val="24"/>
          <w:szCs w:val="24"/>
        </w:rPr>
        <w:t xml:space="preserve">The </w:t>
      </w:r>
      <w:r w:rsidR="0005449C" w:rsidRPr="00F314C1">
        <w:rPr>
          <w:rFonts w:asciiTheme="minorHAnsi" w:hAnsiTheme="minorHAnsi"/>
          <w:sz w:val="24"/>
          <w:szCs w:val="24"/>
        </w:rPr>
        <w:t xml:space="preserve">ADF&amp;G </w:t>
      </w:r>
      <w:r w:rsidRPr="00F314C1">
        <w:rPr>
          <w:rFonts w:asciiTheme="minorHAnsi" w:hAnsiTheme="minorHAnsi"/>
          <w:sz w:val="24"/>
          <w:szCs w:val="24"/>
        </w:rPr>
        <w:t>Division of Subsistence uses a variety of research methods in its collection of subsistence data including</w:t>
      </w:r>
      <w:r w:rsidR="00042ED0" w:rsidRPr="00F314C1">
        <w:rPr>
          <w:rFonts w:asciiTheme="minorHAnsi" w:hAnsiTheme="minorHAnsi"/>
          <w:sz w:val="24"/>
          <w:szCs w:val="24"/>
        </w:rPr>
        <w:t xml:space="preserve">: </w:t>
      </w:r>
      <w:r w:rsidRPr="00F314C1">
        <w:rPr>
          <w:rFonts w:asciiTheme="minorHAnsi" w:hAnsiTheme="minorHAnsi"/>
          <w:sz w:val="24"/>
          <w:szCs w:val="24"/>
        </w:rPr>
        <w:t>systematic household studies</w:t>
      </w:r>
      <w:r w:rsidR="002C58BD" w:rsidRPr="00F314C1">
        <w:rPr>
          <w:rFonts w:asciiTheme="minorHAnsi" w:hAnsiTheme="minorHAnsi"/>
          <w:sz w:val="24"/>
          <w:szCs w:val="24"/>
        </w:rPr>
        <w:t>;</w:t>
      </w:r>
      <w:r w:rsidRPr="00F314C1">
        <w:rPr>
          <w:rFonts w:asciiTheme="minorHAnsi" w:hAnsiTheme="minorHAnsi"/>
          <w:sz w:val="24"/>
          <w:szCs w:val="24"/>
        </w:rPr>
        <w:t xml:space="preserve"> mapping harvest areas</w:t>
      </w:r>
      <w:r w:rsidR="002C58BD" w:rsidRPr="00F314C1">
        <w:rPr>
          <w:rFonts w:asciiTheme="minorHAnsi" w:hAnsiTheme="minorHAnsi"/>
          <w:sz w:val="24"/>
          <w:szCs w:val="24"/>
        </w:rPr>
        <w:t>;</w:t>
      </w:r>
      <w:r w:rsidRPr="00F314C1">
        <w:rPr>
          <w:rFonts w:asciiTheme="minorHAnsi" w:hAnsiTheme="minorHAnsi"/>
          <w:sz w:val="24"/>
          <w:szCs w:val="24"/>
        </w:rPr>
        <w:t xml:space="preserve"> key respondent interviews</w:t>
      </w:r>
      <w:r w:rsidR="002C58BD" w:rsidRPr="00F314C1">
        <w:rPr>
          <w:rFonts w:asciiTheme="minorHAnsi" w:hAnsiTheme="minorHAnsi"/>
          <w:sz w:val="24"/>
          <w:szCs w:val="24"/>
        </w:rPr>
        <w:t>;</w:t>
      </w:r>
      <w:r w:rsidRPr="00F314C1">
        <w:rPr>
          <w:rFonts w:asciiTheme="minorHAnsi" w:hAnsiTheme="minorHAnsi"/>
          <w:sz w:val="24"/>
          <w:szCs w:val="24"/>
        </w:rPr>
        <w:t xml:space="preserve"> participant observation</w:t>
      </w:r>
      <w:r w:rsidR="002C58BD" w:rsidRPr="00F314C1">
        <w:rPr>
          <w:rFonts w:asciiTheme="minorHAnsi" w:hAnsiTheme="minorHAnsi"/>
          <w:sz w:val="24"/>
          <w:szCs w:val="24"/>
        </w:rPr>
        <w:t>;</w:t>
      </w:r>
      <w:r w:rsidRPr="00F314C1">
        <w:rPr>
          <w:rFonts w:asciiTheme="minorHAnsi" w:hAnsiTheme="minorHAnsi"/>
          <w:sz w:val="24"/>
          <w:szCs w:val="24"/>
        </w:rPr>
        <w:t xml:space="preserve"> database and library research</w:t>
      </w:r>
      <w:r w:rsidR="002C58BD" w:rsidRPr="00F314C1">
        <w:rPr>
          <w:rFonts w:asciiTheme="minorHAnsi" w:hAnsiTheme="minorHAnsi"/>
          <w:sz w:val="24"/>
          <w:szCs w:val="24"/>
        </w:rPr>
        <w:t>;</w:t>
      </w:r>
      <w:r w:rsidRPr="00F314C1">
        <w:rPr>
          <w:rFonts w:asciiTheme="minorHAnsi" w:hAnsiTheme="minorHAnsi"/>
          <w:sz w:val="24"/>
          <w:szCs w:val="24"/>
        </w:rPr>
        <w:t xml:space="preserve"> and harvest monitoring using </w:t>
      </w:r>
      <w:r w:rsidR="00D50003" w:rsidRPr="00F314C1">
        <w:rPr>
          <w:rFonts w:asciiTheme="minorHAnsi" w:hAnsiTheme="minorHAnsi"/>
          <w:sz w:val="24"/>
          <w:szCs w:val="24"/>
        </w:rPr>
        <w:t>permits and post-season surveys</w:t>
      </w:r>
      <w:r w:rsidRPr="00F314C1">
        <w:rPr>
          <w:rFonts w:asciiTheme="minorHAnsi" w:hAnsiTheme="minorHAnsi"/>
          <w:sz w:val="24"/>
          <w:szCs w:val="24"/>
        </w:rPr>
        <w:t xml:space="preserve"> (</w:t>
      </w:r>
      <w:proofErr w:type="gramStart"/>
      <w:r w:rsidR="00D50003" w:rsidRPr="00F314C1">
        <w:rPr>
          <w:rFonts w:asciiTheme="minorHAnsi" w:hAnsiTheme="minorHAnsi"/>
          <w:sz w:val="24"/>
          <w:szCs w:val="24"/>
        </w:rPr>
        <w:t>Fall</w:t>
      </w:r>
      <w:proofErr w:type="gramEnd"/>
      <w:r w:rsidR="00D50003" w:rsidRPr="00F314C1">
        <w:rPr>
          <w:rFonts w:asciiTheme="minorHAnsi" w:hAnsiTheme="minorHAnsi"/>
          <w:sz w:val="24"/>
          <w:szCs w:val="24"/>
        </w:rPr>
        <w:t>, 2011</w:t>
      </w:r>
      <w:r w:rsidRPr="00F314C1">
        <w:rPr>
          <w:rFonts w:asciiTheme="minorHAnsi" w:hAnsiTheme="minorHAnsi"/>
          <w:sz w:val="24"/>
          <w:szCs w:val="24"/>
        </w:rPr>
        <w:t>)</w:t>
      </w:r>
      <w:r w:rsidR="00D50003" w:rsidRPr="00F314C1">
        <w:rPr>
          <w:rFonts w:asciiTheme="minorHAnsi" w:hAnsiTheme="minorHAnsi"/>
          <w:sz w:val="24"/>
          <w:szCs w:val="24"/>
        </w:rPr>
        <w:t>.</w:t>
      </w:r>
    </w:p>
    <w:p w14:paraId="64988061" w14:textId="77777777" w:rsidR="00563F45" w:rsidRPr="00F314C1" w:rsidRDefault="00563F45" w:rsidP="00C379D4">
      <w:pPr>
        <w:pStyle w:val="Heading4"/>
        <w:keepNext/>
        <w:jc w:val="both"/>
        <w:rPr>
          <w:sz w:val="24"/>
          <w:szCs w:val="24"/>
        </w:rPr>
      </w:pPr>
      <w:r w:rsidRPr="00F314C1">
        <w:rPr>
          <w:sz w:val="24"/>
          <w:szCs w:val="24"/>
        </w:rPr>
        <w:t>Description of Data</w:t>
      </w:r>
    </w:p>
    <w:p w14:paraId="64988062" w14:textId="7C26DBF1" w:rsidR="00B304D2" w:rsidRPr="00F314C1" w:rsidRDefault="00B304D2" w:rsidP="00C379D4">
      <w:pPr>
        <w:keepNext/>
        <w:jc w:val="both"/>
        <w:rPr>
          <w:rFonts w:asciiTheme="minorHAnsi" w:hAnsiTheme="minorHAnsi"/>
          <w:sz w:val="24"/>
          <w:szCs w:val="24"/>
        </w:rPr>
      </w:pPr>
      <w:r w:rsidRPr="00F314C1">
        <w:rPr>
          <w:rFonts w:asciiTheme="minorHAnsi" w:hAnsiTheme="minorHAnsi"/>
          <w:sz w:val="24"/>
          <w:szCs w:val="24"/>
          <w:u w:val="single"/>
        </w:rPr>
        <w:t>Alaska Subsistence Fisheries Database</w:t>
      </w:r>
      <w:r w:rsidRPr="00F314C1">
        <w:rPr>
          <w:rFonts w:asciiTheme="minorHAnsi" w:hAnsiTheme="minorHAnsi"/>
          <w:sz w:val="24"/>
          <w:szCs w:val="24"/>
        </w:rPr>
        <w:t xml:space="preserve">: </w:t>
      </w:r>
      <w:r w:rsidR="002C58BD" w:rsidRPr="00F314C1">
        <w:rPr>
          <w:rFonts w:asciiTheme="minorHAnsi" w:hAnsiTheme="minorHAnsi"/>
          <w:sz w:val="24"/>
          <w:szCs w:val="24"/>
        </w:rPr>
        <w:t>I</w:t>
      </w:r>
      <w:r w:rsidRPr="00F314C1">
        <w:rPr>
          <w:rFonts w:asciiTheme="minorHAnsi" w:hAnsiTheme="minorHAnsi"/>
          <w:sz w:val="24"/>
          <w:szCs w:val="24"/>
        </w:rPr>
        <w:t xml:space="preserve">nitiated in 1999 </w:t>
      </w:r>
      <w:r w:rsidR="002C58BD" w:rsidRPr="00F314C1">
        <w:rPr>
          <w:rFonts w:asciiTheme="minorHAnsi" w:hAnsiTheme="minorHAnsi"/>
          <w:sz w:val="24"/>
          <w:szCs w:val="24"/>
        </w:rPr>
        <w:t xml:space="preserve">by </w:t>
      </w:r>
      <w:r w:rsidRPr="00F314C1">
        <w:rPr>
          <w:rFonts w:asciiTheme="minorHAnsi" w:hAnsiTheme="minorHAnsi"/>
          <w:sz w:val="24"/>
          <w:szCs w:val="24"/>
        </w:rPr>
        <w:t xml:space="preserve">ADF&amp;G Division of </w:t>
      </w:r>
      <w:r w:rsidR="002C58BD" w:rsidRPr="00F314C1">
        <w:rPr>
          <w:rFonts w:asciiTheme="minorHAnsi" w:hAnsiTheme="minorHAnsi"/>
          <w:sz w:val="24"/>
          <w:szCs w:val="24"/>
        </w:rPr>
        <w:t>S</w:t>
      </w:r>
      <w:r w:rsidRPr="00F314C1">
        <w:rPr>
          <w:rFonts w:asciiTheme="minorHAnsi" w:hAnsiTheme="minorHAnsi"/>
          <w:sz w:val="24"/>
          <w:szCs w:val="24"/>
        </w:rPr>
        <w:t>ubsistence</w:t>
      </w:r>
      <w:r w:rsidR="002C58BD" w:rsidRPr="00F314C1">
        <w:rPr>
          <w:rFonts w:asciiTheme="minorHAnsi" w:hAnsiTheme="minorHAnsi"/>
          <w:sz w:val="24"/>
          <w:szCs w:val="24"/>
        </w:rPr>
        <w:t>,</w:t>
      </w:r>
      <w:r w:rsidRPr="00F314C1">
        <w:rPr>
          <w:rFonts w:asciiTheme="minorHAnsi" w:hAnsiTheme="minorHAnsi"/>
          <w:sz w:val="24"/>
          <w:szCs w:val="24"/>
        </w:rPr>
        <w:t xml:space="preserve"> </w:t>
      </w:r>
      <w:r w:rsidR="002C58BD" w:rsidRPr="00F314C1">
        <w:rPr>
          <w:rFonts w:asciiTheme="minorHAnsi" w:hAnsiTheme="minorHAnsi"/>
          <w:sz w:val="24"/>
          <w:szCs w:val="24"/>
        </w:rPr>
        <w:t>t</w:t>
      </w:r>
      <w:r w:rsidRPr="00F314C1">
        <w:rPr>
          <w:rFonts w:asciiTheme="minorHAnsi" w:hAnsiTheme="minorHAnsi"/>
          <w:sz w:val="24"/>
          <w:szCs w:val="24"/>
        </w:rPr>
        <w:t xml:space="preserve">he </w:t>
      </w:r>
      <w:r w:rsidR="002C58BD" w:rsidRPr="00F314C1">
        <w:rPr>
          <w:rFonts w:asciiTheme="minorHAnsi" w:hAnsiTheme="minorHAnsi"/>
          <w:sz w:val="24"/>
          <w:szCs w:val="24"/>
        </w:rPr>
        <w:t xml:space="preserve">Alaska Subsidence Fisheries </w:t>
      </w:r>
      <w:r w:rsidR="0005449C" w:rsidRPr="00F314C1">
        <w:rPr>
          <w:rFonts w:asciiTheme="minorHAnsi" w:hAnsiTheme="minorHAnsi"/>
          <w:sz w:val="24"/>
          <w:szCs w:val="24"/>
        </w:rPr>
        <w:t>D</w:t>
      </w:r>
      <w:r w:rsidRPr="00F314C1">
        <w:rPr>
          <w:rFonts w:asciiTheme="minorHAnsi" w:hAnsiTheme="minorHAnsi"/>
          <w:sz w:val="24"/>
          <w:szCs w:val="24"/>
        </w:rPr>
        <w:t>atabase</w:t>
      </w:r>
      <w:r w:rsidR="002C58BD" w:rsidRPr="00F314C1">
        <w:rPr>
          <w:rFonts w:asciiTheme="minorHAnsi" w:hAnsiTheme="minorHAnsi"/>
          <w:sz w:val="24"/>
          <w:szCs w:val="24"/>
        </w:rPr>
        <w:t xml:space="preserve"> (ASFDB)</w:t>
      </w:r>
      <w:r w:rsidRPr="00F314C1">
        <w:rPr>
          <w:rFonts w:asciiTheme="minorHAnsi" w:hAnsiTheme="minorHAnsi"/>
          <w:sz w:val="24"/>
          <w:szCs w:val="24"/>
        </w:rPr>
        <w:t xml:space="preserve"> compiles information from annual subsistence salmon harvest monitoring programs and includes information for all fisheries management areas. Most of the annual harvest monitoring programs focus on salmon, however there is</w:t>
      </w:r>
      <w:r w:rsidR="007D7FAC" w:rsidRPr="00F314C1">
        <w:rPr>
          <w:rFonts w:asciiTheme="minorHAnsi" w:hAnsiTheme="minorHAnsi"/>
          <w:sz w:val="24"/>
          <w:szCs w:val="24"/>
        </w:rPr>
        <w:t xml:space="preserve"> also</w:t>
      </w:r>
      <w:r w:rsidRPr="00F314C1">
        <w:rPr>
          <w:rFonts w:asciiTheme="minorHAnsi" w:hAnsiTheme="minorHAnsi"/>
          <w:sz w:val="24"/>
          <w:szCs w:val="24"/>
        </w:rPr>
        <w:t xml:space="preserve"> limited information on other types of fish and marine invertebrates. Most harvest monitoring </w:t>
      </w:r>
      <w:r w:rsidRPr="00F314C1">
        <w:rPr>
          <w:rFonts w:asciiTheme="minorHAnsi" w:hAnsiTheme="minorHAnsi"/>
          <w:sz w:val="24"/>
          <w:szCs w:val="24"/>
        </w:rPr>
        <w:lastRenderedPageBreak/>
        <w:t>programs in the state collect information on total harvest by species</w:t>
      </w:r>
      <w:r w:rsidR="00650AE8" w:rsidRPr="00F314C1">
        <w:rPr>
          <w:rFonts w:asciiTheme="minorHAnsi" w:hAnsiTheme="minorHAnsi"/>
          <w:sz w:val="24"/>
          <w:szCs w:val="24"/>
        </w:rPr>
        <w:t>,</w:t>
      </w:r>
      <w:r w:rsidRPr="00F314C1">
        <w:rPr>
          <w:rFonts w:asciiTheme="minorHAnsi" w:hAnsiTheme="minorHAnsi"/>
          <w:sz w:val="24"/>
          <w:szCs w:val="24"/>
        </w:rPr>
        <w:t xml:space="preserve"> harvest timing</w:t>
      </w:r>
      <w:r w:rsidR="00650AE8" w:rsidRPr="00F314C1">
        <w:rPr>
          <w:rFonts w:asciiTheme="minorHAnsi" w:hAnsiTheme="minorHAnsi"/>
          <w:sz w:val="24"/>
          <w:szCs w:val="24"/>
        </w:rPr>
        <w:t>,</w:t>
      </w:r>
      <w:r w:rsidRPr="00F314C1">
        <w:rPr>
          <w:rFonts w:asciiTheme="minorHAnsi" w:hAnsiTheme="minorHAnsi"/>
          <w:sz w:val="24"/>
          <w:szCs w:val="24"/>
        </w:rPr>
        <w:t xml:space="preserve"> number of participants in the fishery</w:t>
      </w:r>
      <w:r w:rsidR="00650AE8" w:rsidRPr="00F314C1">
        <w:rPr>
          <w:rFonts w:asciiTheme="minorHAnsi" w:hAnsiTheme="minorHAnsi"/>
          <w:sz w:val="24"/>
          <w:szCs w:val="24"/>
        </w:rPr>
        <w:t>,</w:t>
      </w:r>
      <w:r w:rsidRPr="00F314C1">
        <w:rPr>
          <w:rFonts w:asciiTheme="minorHAnsi" w:hAnsiTheme="minorHAnsi"/>
          <w:sz w:val="24"/>
          <w:szCs w:val="24"/>
        </w:rPr>
        <w:t xml:space="preserve"> location of harvest</w:t>
      </w:r>
      <w:r w:rsidR="00650AE8" w:rsidRPr="00F314C1">
        <w:rPr>
          <w:rFonts w:asciiTheme="minorHAnsi" w:hAnsiTheme="minorHAnsi"/>
          <w:sz w:val="24"/>
          <w:szCs w:val="24"/>
        </w:rPr>
        <w:t>,</w:t>
      </w:r>
      <w:r w:rsidRPr="00F314C1">
        <w:rPr>
          <w:rFonts w:asciiTheme="minorHAnsi" w:hAnsiTheme="minorHAnsi"/>
          <w:sz w:val="24"/>
          <w:szCs w:val="24"/>
        </w:rPr>
        <w:t xml:space="preserve"> and </w:t>
      </w:r>
      <w:r w:rsidR="00D50003" w:rsidRPr="00F314C1">
        <w:rPr>
          <w:rFonts w:asciiTheme="minorHAnsi" w:hAnsiTheme="minorHAnsi"/>
          <w:sz w:val="24"/>
          <w:szCs w:val="24"/>
        </w:rPr>
        <w:t>residence of participant fisher</w:t>
      </w:r>
      <w:r w:rsidRPr="00F314C1">
        <w:rPr>
          <w:rFonts w:asciiTheme="minorHAnsi" w:hAnsiTheme="minorHAnsi"/>
          <w:sz w:val="24"/>
          <w:szCs w:val="24"/>
        </w:rPr>
        <w:t xml:space="preserve"> (</w:t>
      </w:r>
      <w:r w:rsidR="00D50003" w:rsidRPr="00F314C1">
        <w:rPr>
          <w:rFonts w:asciiTheme="minorHAnsi" w:hAnsiTheme="minorHAnsi"/>
          <w:sz w:val="24"/>
          <w:szCs w:val="24"/>
        </w:rPr>
        <w:t>Lemons, 2011</w:t>
      </w:r>
      <w:r w:rsidRPr="00F314C1">
        <w:rPr>
          <w:rFonts w:asciiTheme="minorHAnsi" w:hAnsiTheme="minorHAnsi"/>
          <w:sz w:val="24"/>
          <w:szCs w:val="24"/>
        </w:rPr>
        <w:t>)</w:t>
      </w:r>
      <w:r w:rsidR="00D50003" w:rsidRPr="00F314C1">
        <w:rPr>
          <w:rFonts w:asciiTheme="minorHAnsi" w:hAnsiTheme="minorHAnsi"/>
          <w:sz w:val="24"/>
          <w:szCs w:val="24"/>
        </w:rPr>
        <w:t>.</w:t>
      </w:r>
      <w:r w:rsidRPr="00F314C1">
        <w:rPr>
          <w:rFonts w:asciiTheme="minorHAnsi" w:hAnsiTheme="minorHAnsi"/>
          <w:sz w:val="24"/>
          <w:szCs w:val="24"/>
        </w:rPr>
        <w:t xml:space="preserve"> </w:t>
      </w:r>
    </w:p>
    <w:p w14:paraId="64988063" w14:textId="79D0B43E" w:rsidR="00B304D2" w:rsidRPr="00F314C1" w:rsidRDefault="00B304D2" w:rsidP="00C379D4">
      <w:pPr>
        <w:jc w:val="both"/>
        <w:rPr>
          <w:rFonts w:asciiTheme="minorHAnsi" w:hAnsiTheme="minorHAnsi"/>
          <w:sz w:val="24"/>
          <w:szCs w:val="24"/>
        </w:rPr>
      </w:pPr>
      <w:r w:rsidRPr="00F314C1">
        <w:rPr>
          <w:rFonts w:asciiTheme="minorHAnsi" w:hAnsiTheme="minorHAnsi"/>
          <w:sz w:val="24"/>
          <w:szCs w:val="24"/>
          <w:u w:val="single"/>
        </w:rPr>
        <w:t>Community Subsistence Information System</w:t>
      </w:r>
      <w:r w:rsidRPr="00F314C1">
        <w:rPr>
          <w:rFonts w:asciiTheme="minorHAnsi" w:hAnsiTheme="minorHAnsi"/>
          <w:sz w:val="24"/>
          <w:szCs w:val="24"/>
        </w:rPr>
        <w:t>:</w:t>
      </w:r>
      <w:r w:rsidR="006815AC" w:rsidRPr="00F314C1">
        <w:rPr>
          <w:rFonts w:asciiTheme="minorHAnsi" w:hAnsiTheme="minorHAnsi"/>
          <w:sz w:val="24"/>
          <w:szCs w:val="24"/>
        </w:rPr>
        <w:t xml:space="preserve"> The Community Subsistence Information System (CSIS) is the repository of Alaska community harvest information collected by the A</w:t>
      </w:r>
      <w:r w:rsidR="006B228D" w:rsidRPr="00F314C1">
        <w:rPr>
          <w:rFonts w:asciiTheme="minorHAnsi" w:hAnsiTheme="minorHAnsi"/>
          <w:sz w:val="24"/>
          <w:szCs w:val="24"/>
        </w:rPr>
        <w:t>DF&amp;G</w:t>
      </w:r>
      <w:r w:rsidR="006815AC" w:rsidRPr="00F314C1">
        <w:rPr>
          <w:rFonts w:asciiTheme="minorHAnsi" w:hAnsiTheme="minorHAnsi"/>
          <w:sz w:val="24"/>
          <w:szCs w:val="24"/>
        </w:rPr>
        <w:t xml:space="preserve"> Division of Subsistence. The database includes harvest information by community, resource category, region, State Subsistence Region, Federal Subsistence Region</w:t>
      </w:r>
      <w:r w:rsidR="002C58BD" w:rsidRPr="00F314C1">
        <w:rPr>
          <w:rFonts w:asciiTheme="minorHAnsi" w:hAnsiTheme="minorHAnsi"/>
          <w:sz w:val="24"/>
          <w:szCs w:val="24"/>
        </w:rPr>
        <w:t>,</w:t>
      </w:r>
      <w:r w:rsidR="006815AC" w:rsidRPr="00F314C1">
        <w:rPr>
          <w:rFonts w:asciiTheme="minorHAnsi" w:hAnsiTheme="minorHAnsi"/>
          <w:sz w:val="24"/>
          <w:szCs w:val="24"/>
        </w:rPr>
        <w:t xml:space="preserve"> and information pertaining to specific game management units. It also contains community information on local demographics and economics, as well as </w:t>
      </w:r>
      <w:r w:rsidR="002C58BD" w:rsidRPr="00F314C1">
        <w:rPr>
          <w:rFonts w:asciiTheme="minorHAnsi" w:hAnsiTheme="minorHAnsi"/>
          <w:sz w:val="24"/>
          <w:szCs w:val="24"/>
        </w:rPr>
        <w:t xml:space="preserve">documents </w:t>
      </w:r>
      <w:r w:rsidR="006815AC" w:rsidRPr="00F314C1">
        <w:rPr>
          <w:rFonts w:asciiTheme="minorHAnsi" w:hAnsiTheme="minorHAnsi"/>
          <w:sz w:val="24"/>
          <w:szCs w:val="24"/>
        </w:rPr>
        <w:t xml:space="preserve">the methods used to conduct subsistence research in </w:t>
      </w:r>
      <w:r w:rsidR="002C58BD" w:rsidRPr="00F314C1">
        <w:rPr>
          <w:rFonts w:asciiTheme="minorHAnsi" w:hAnsiTheme="minorHAnsi"/>
          <w:sz w:val="24"/>
          <w:szCs w:val="24"/>
        </w:rPr>
        <w:t xml:space="preserve">each </w:t>
      </w:r>
      <w:r w:rsidR="006815AC" w:rsidRPr="00F314C1">
        <w:rPr>
          <w:rFonts w:asciiTheme="minorHAnsi" w:hAnsiTheme="minorHAnsi"/>
          <w:sz w:val="24"/>
          <w:szCs w:val="24"/>
        </w:rPr>
        <w:t xml:space="preserve">community. The CSIS can be found online at: </w:t>
      </w:r>
      <w:hyperlink r:id="rId19" w:history="1">
        <w:r w:rsidR="00701B56" w:rsidRPr="00F314C1">
          <w:rPr>
            <w:rStyle w:val="Hyperlink"/>
            <w:rFonts w:asciiTheme="minorHAnsi" w:hAnsiTheme="minorHAnsi"/>
            <w:sz w:val="24"/>
            <w:szCs w:val="24"/>
          </w:rPr>
          <w:t>http://www.adfg.alaska.gov/sb/CSIS/</w:t>
        </w:r>
      </w:hyperlink>
      <w:r w:rsidR="00701B56" w:rsidRPr="00F314C1">
        <w:rPr>
          <w:rFonts w:asciiTheme="minorHAnsi" w:hAnsiTheme="minorHAnsi"/>
          <w:sz w:val="24"/>
          <w:szCs w:val="24"/>
        </w:rPr>
        <w:t xml:space="preserve">. </w:t>
      </w:r>
    </w:p>
    <w:p w14:paraId="2CAE2908" w14:textId="77777777" w:rsidR="005E54C0" w:rsidRDefault="00193A16" w:rsidP="00F314C1">
      <w:pPr>
        <w:spacing w:after="120"/>
        <w:jc w:val="both"/>
        <w:rPr>
          <w:rFonts w:asciiTheme="minorHAnsi" w:hAnsiTheme="minorHAnsi"/>
          <w:sz w:val="24"/>
          <w:szCs w:val="24"/>
        </w:rPr>
      </w:pPr>
      <w:r w:rsidRPr="00F314C1">
        <w:rPr>
          <w:rFonts w:asciiTheme="minorHAnsi" w:hAnsiTheme="minorHAnsi"/>
          <w:sz w:val="24"/>
          <w:szCs w:val="24"/>
          <w:u w:val="single"/>
        </w:rPr>
        <w:t>Technical Paper Series</w:t>
      </w:r>
      <w:r w:rsidRPr="00F314C1">
        <w:rPr>
          <w:rFonts w:asciiTheme="minorHAnsi" w:hAnsiTheme="minorHAnsi"/>
          <w:sz w:val="24"/>
          <w:szCs w:val="24"/>
        </w:rPr>
        <w:t xml:space="preserve">: </w:t>
      </w:r>
      <w:r w:rsidR="002D31C7" w:rsidRPr="00F314C1">
        <w:rPr>
          <w:rFonts w:asciiTheme="minorHAnsi" w:hAnsiTheme="minorHAnsi"/>
          <w:sz w:val="24"/>
          <w:szCs w:val="24"/>
        </w:rPr>
        <w:t>The Technical Paper Series</w:t>
      </w:r>
      <w:r w:rsidRPr="00F314C1">
        <w:rPr>
          <w:rFonts w:asciiTheme="minorHAnsi" w:hAnsiTheme="minorHAnsi"/>
          <w:sz w:val="24"/>
          <w:szCs w:val="24"/>
        </w:rPr>
        <w:t xml:space="preserve"> is the most complete collection of current information about subsistence in Alaska, and represents a substantial portion of the </w:t>
      </w:r>
      <w:r w:rsidR="006B228D" w:rsidRPr="00F314C1">
        <w:rPr>
          <w:rFonts w:asciiTheme="minorHAnsi" w:hAnsiTheme="minorHAnsi"/>
          <w:sz w:val="24"/>
          <w:szCs w:val="24"/>
        </w:rPr>
        <w:t xml:space="preserve">ADF&amp;G </w:t>
      </w:r>
      <w:r w:rsidR="0005449C" w:rsidRPr="00F314C1">
        <w:rPr>
          <w:rFonts w:asciiTheme="minorHAnsi" w:hAnsiTheme="minorHAnsi"/>
          <w:sz w:val="24"/>
          <w:szCs w:val="24"/>
        </w:rPr>
        <w:t>Division of Subsistence’s</w:t>
      </w:r>
      <w:r w:rsidR="005A4ADF" w:rsidRPr="00F314C1">
        <w:rPr>
          <w:rFonts w:asciiTheme="minorHAnsi" w:hAnsiTheme="minorHAnsi"/>
          <w:sz w:val="24"/>
          <w:szCs w:val="24"/>
        </w:rPr>
        <w:t xml:space="preserve"> </w:t>
      </w:r>
      <w:r w:rsidRPr="00F314C1">
        <w:rPr>
          <w:rFonts w:asciiTheme="minorHAnsi" w:hAnsiTheme="minorHAnsi"/>
          <w:sz w:val="24"/>
          <w:szCs w:val="24"/>
        </w:rPr>
        <w:t>research. The papers cover all regions of the state. Some papers were written in response to specific fish and game management issues, including harvest assessments. Other</w:t>
      </w:r>
      <w:r w:rsidR="00F446FF" w:rsidRPr="00F314C1">
        <w:rPr>
          <w:rFonts w:asciiTheme="minorHAnsi" w:hAnsiTheme="minorHAnsi"/>
          <w:sz w:val="24"/>
          <w:szCs w:val="24"/>
        </w:rPr>
        <w:t xml:space="preserve"> papers</w:t>
      </w:r>
      <w:r w:rsidRPr="00F314C1">
        <w:rPr>
          <w:rFonts w:asciiTheme="minorHAnsi" w:hAnsiTheme="minorHAnsi"/>
          <w:sz w:val="24"/>
          <w:szCs w:val="24"/>
        </w:rPr>
        <w:t xml:space="preserve"> provide detailed </w:t>
      </w:r>
      <w:r w:rsidR="00F446FF" w:rsidRPr="00F314C1">
        <w:rPr>
          <w:rFonts w:asciiTheme="minorHAnsi" w:hAnsiTheme="minorHAnsi"/>
          <w:sz w:val="24"/>
          <w:szCs w:val="24"/>
        </w:rPr>
        <w:t>data</w:t>
      </w:r>
      <w:r w:rsidRPr="00F314C1">
        <w:rPr>
          <w:rFonts w:asciiTheme="minorHAnsi" w:hAnsiTheme="minorHAnsi"/>
          <w:sz w:val="24"/>
          <w:szCs w:val="24"/>
        </w:rPr>
        <w:t xml:space="preserve"> on the subsistence use of particular communities</w:t>
      </w:r>
      <w:r w:rsidR="006B228D" w:rsidRPr="00F314C1">
        <w:rPr>
          <w:rFonts w:asciiTheme="minorHAnsi" w:hAnsiTheme="minorHAnsi"/>
          <w:sz w:val="24"/>
          <w:szCs w:val="24"/>
        </w:rPr>
        <w:t>,</w:t>
      </w:r>
      <w:r w:rsidRPr="00F314C1">
        <w:rPr>
          <w:rFonts w:asciiTheme="minorHAnsi" w:hAnsiTheme="minorHAnsi"/>
          <w:sz w:val="24"/>
          <w:szCs w:val="24"/>
        </w:rPr>
        <w:t xml:space="preserve"> </w:t>
      </w:r>
      <w:r w:rsidR="00F446FF" w:rsidRPr="00F314C1">
        <w:rPr>
          <w:rFonts w:asciiTheme="minorHAnsi" w:hAnsiTheme="minorHAnsi"/>
          <w:sz w:val="24"/>
          <w:szCs w:val="24"/>
        </w:rPr>
        <w:t xml:space="preserve">information </w:t>
      </w:r>
      <w:r w:rsidR="005A4ADF" w:rsidRPr="00F314C1">
        <w:rPr>
          <w:rFonts w:asciiTheme="minorHAnsi" w:hAnsiTheme="minorHAnsi"/>
          <w:sz w:val="24"/>
          <w:szCs w:val="24"/>
        </w:rPr>
        <w:t>that</w:t>
      </w:r>
      <w:r w:rsidR="00F446FF" w:rsidRPr="00F314C1">
        <w:rPr>
          <w:rFonts w:asciiTheme="minorHAnsi" w:hAnsiTheme="minorHAnsi"/>
          <w:sz w:val="24"/>
          <w:szCs w:val="24"/>
        </w:rPr>
        <w:t xml:space="preserve"> is</w:t>
      </w:r>
      <w:r w:rsidR="006B228D" w:rsidRPr="00F314C1">
        <w:rPr>
          <w:rFonts w:asciiTheme="minorHAnsi" w:hAnsiTheme="minorHAnsi"/>
          <w:sz w:val="24"/>
          <w:szCs w:val="24"/>
        </w:rPr>
        <w:t xml:space="preserve"> </w:t>
      </w:r>
      <w:r w:rsidR="00F446FF" w:rsidRPr="00F314C1">
        <w:rPr>
          <w:rFonts w:asciiTheme="minorHAnsi" w:hAnsiTheme="minorHAnsi"/>
          <w:sz w:val="24"/>
          <w:szCs w:val="24"/>
        </w:rPr>
        <w:t xml:space="preserve">critical for analysis of multiple </w:t>
      </w:r>
      <w:r w:rsidRPr="00F314C1">
        <w:rPr>
          <w:rFonts w:asciiTheme="minorHAnsi" w:hAnsiTheme="minorHAnsi"/>
          <w:sz w:val="24"/>
          <w:szCs w:val="24"/>
        </w:rPr>
        <w:t xml:space="preserve">scientific and policy </w:t>
      </w:r>
      <w:r w:rsidR="006B228D" w:rsidRPr="00F314C1">
        <w:rPr>
          <w:rFonts w:asciiTheme="minorHAnsi" w:hAnsiTheme="minorHAnsi"/>
          <w:sz w:val="24"/>
          <w:szCs w:val="24"/>
        </w:rPr>
        <w:t>issues</w:t>
      </w:r>
      <w:r w:rsidR="00F446FF" w:rsidRPr="00F314C1">
        <w:rPr>
          <w:rFonts w:asciiTheme="minorHAnsi" w:hAnsiTheme="minorHAnsi"/>
          <w:sz w:val="24"/>
          <w:szCs w:val="24"/>
        </w:rPr>
        <w:t xml:space="preserve"> within Alaska</w:t>
      </w:r>
      <w:r w:rsidR="006B228D" w:rsidRPr="00F314C1">
        <w:rPr>
          <w:rFonts w:asciiTheme="minorHAnsi" w:hAnsiTheme="minorHAnsi"/>
          <w:sz w:val="24"/>
          <w:szCs w:val="24"/>
        </w:rPr>
        <w:t>.</w:t>
      </w:r>
      <w:r w:rsidRPr="00F314C1">
        <w:rPr>
          <w:rFonts w:asciiTheme="minorHAnsi" w:hAnsiTheme="minorHAnsi"/>
          <w:sz w:val="24"/>
          <w:szCs w:val="24"/>
        </w:rPr>
        <w:t xml:space="preserve"> </w:t>
      </w:r>
      <w:r w:rsidR="00701B56" w:rsidRPr="00F314C1">
        <w:rPr>
          <w:rFonts w:asciiTheme="minorHAnsi" w:hAnsiTheme="minorHAnsi"/>
          <w:sz w:val="24"/>
          <w:szCs w:val="24"/>
        </w:rPr>
        <w:t xml:space="preserve">Analyses </w:t>
      </w:r>
      <w:r w:rsidRPr="00F314C1">
        <w:rPr>
          <w:rFonts w:asciiTheme="minorHAnsi" w:hAnsiTheme="minorHAnsi"/>
          <w:sz w:val="24"/>
          <w:szCs w:val="24"/>
        </w:rPr>
        <w:t xml:space="preserve">of data contained the ASFDB and the CSIS </w:t>
      </w:r>
      <w:r w:rsidR="002C58BD" w:rsidRPr="00F314C1">
        <w:rPr>
          <w:rFonts w:asciiTheme="minorHAnsi" w:hAnsiTheme="minorHAnsi"/>
          <w:sz w:val="24"/>
          <w:szCs w:val="24"/>
        </w:rPr>
        <w:t xml:space="preserve">are </w:t>
      </w:r>
      <w:r w:rsidRPr="00F314C1">
        <w:rPr>
          <w:rFonts w:asciiTheme="minorHAnsi" w:hAnsiTheme="minorHAnsi"/>
          <w:sz w:val="24"/>
          <w:szCs w:val="24"/>
        </w:rPr>
        <w:t xml:space="preserve">frequently </w:t>
      </w:r>
      <w:r w:rsidR="002C58BD" w:rsidRPr="00F314C1">
        <w:rPr>
          <w:rFonts w:asciiTheme="minorHAnsi" w:hAnsiTheme="minorHAnsi"/>
          <w:sz w:val="24"/>
          <w:szCs w:val="24"/>
        </w:rPr>
        <w:t xml:space="preserve">included </w:t>
      </w:r>
      <w:r w:rsidRPr="00F314C1">
        <w:rPr>
          <w:rFonts w:asciiTheme="minorHAnsi" w:hAnsiTheme="minorHAnsi"/>
          <w:sz w:val="24"/>
          <w:szCs w:val="24"/>
        </w:rPr>
        <w:t xml:space="preserve">in </w:t>
      </w:r>
      <w:r w:rsidR="005A4ADF" w:rsidRPr="00F314C1">
        <w:rPr>
          <w:rFonts w:asciiTheme="minorHAnsi" w:hAnsiTheme="minorHAnsi"/>
          <w:sz w:val="24"/>
          <w:szCs w:val="24"/>
        </w:rPr>
        <w:t xml:space="preserve">the </w:t>
      </w:r>
      <w:r w:rsidR="00F446FF" w:rsidRPr="00F314C1">
        <w:rPr>
          <w:rFonts w:asciiTheme="minorHAnsi" w:hAnsiTheme="minorHAnsi"/>
          <w:sz w:val="24"/>
          <w:szCs w:val="24"/>
        </w:rPr>
        <w:t>Technical Paper Series</w:t>
      </w:r>
      <w:r w:rsidRPr="00F314C1">
        <w:rPr>
          <w:rFonts w:asciiTheme="minorHAnsi" w:hAnsiTheme="minorHAnsi"/>
          <w:sz w:val="24"/>
          <w:szCs w:val="24"/>
        </w:rPr>
        <w:t xml:space="preserve"> reports. A full description of all the various types of Fishing and Subsistence publications can be found </w:t>
      </w:r>
      <w:r w:rsidR="00C379D4" w:rsidRPr="00F314C1">
        <w:rPr>
          <w:rFonts w:asciiTheme="minorHAnsi" w:hAnsiTheme="minorHAnsi"/>
          <w:sz w:val="24"/>
          <w:szCs w:val="24"/>
        </w:rPr>
        <w:t xml:space="preserve">on ADF&amp;G’s website </w:t>
      </w:r>
      <w:r w:rsidRPr="00F314C1">
        <w:rPr>
          <w:rFonts w:asciiTheme="minorHAnsi" w:hAnsiTheme="minorHAnsi"/>
          <w:sz w:val="24"/>
          <w:szCs w:val="24"/>
        </w:rPr>
        <w:t>at:</w:t>
      </w:r>
    </w:p>
    <w:p w14:paraId="64988064" w14:textId="3068D6FF" w:rsidR="00193A16" w:rsidRPr="00F314C1" w:rsidRDefault="00193A16" w:rsidP="00C379D4">
      <w:pPr>
        <w:jc w:val="both"/>
        <w:rPr>
          <w:rFonts w:asciiTheme="minorHAnsi" w:hAnsiTheme="minorHAnsi"/>
          <w:sz w:val="24"/>
          <w:szCs w:val="24"/>
        </w:rPr>
      </w:pPr>
      <w:r w:rsidRPr="00F314C1">
        <w:rPr>
          <w:rFonts w:asciiTheme="minorHAnsi" w:hAnsiTheme="minorHAnsi"/>
          <w:sz w:val="24"/>
          <w:szCs w:val="24"/>
        </w:rPr>
        <w:t xml:space="preserve"> </w:t>
      </w:r>
      <w:hyperlink r:id="rId20" w:history="1">
        <w:r w:rsidRPr="00F314C1">
          <w:rPr>
            <w:rStyle w:val="Hyperlink"/>
            <w:rFonts w:asciiTheme="minorHAnsi" w:hAnsiTheme="minorHAnsi"/>
            <w:sz w:val="24"/>
            <w:szCs w:val="24"/>
          </w:rPr>
          <w:t>http://www.adfg.alaska.gov/sf/publications/index.cfm?ADFG=main.reportTypes</w:t>
        </w:r>
      </w:hyperlink>
    </w:p>
    <w:p w14:paraId="64988065" w14:textId="77777777" w:rsidR="00563F45" w:rsidRPr="00F314C1" w:rsidRDefault="00563F45" w:rsidP="00C379D4">
      <w:pPr>
        <w:pStyle w:val="Heading4"/>
        <w:jc w:val="both"/>
        <w:rPr>
          <w:sz w:val="24"/>
          <w:szCs w:val="24"/>
        </w:rPr>
      </w:pPr>
      <w:r w:rsidRPr="00F314C1">
        <w:rPr>
          <w:sz w:val="24"/>
          <w:szCs w:val="24"/>
        </w:rPr>
        <w:t xml:space="preserve">Findings on Fish Harvest </w:t>
      </w:r>
      <w:r w:rsidR="00901FBB" w:rsidRPr="00F314C1">
        <w:rPr>
          <w:sz w:val="24"/>
          <w:szCs w:val="24"/>
        </w:rPr>
        <w:t>Assessment</w:t>
      </w:r>
    </w:p>
    <w:p w14:paraId="64988066" w14:textId="4939CBF7" w:rsidR="0087318A" w:rsidRPr="00F314C1" w:rsidRDefault="0087318A" w:rsidP="00C379D4">
      <w:pPr>
        <w:jc w:val="both"/>
        <w:rPr>
          <w:rFonts w:asciiTheme="minorHAnsi" w:hAnsiTheme="minorHAnsi"/>
          <w:sz w:val="24"/>
          <w:szCs w:val="24"/>
        </w:rPr>
      </w:pPr>
      <w:r w:rsidRPr="00F314C1">
        <w:rPr>
          <w:rFonts w:asciiTheme="minorHAnsi" w:hAnsiTheme="minorHAnsi"/>
          <w:sz w:val="24"/>
          <w:szCs w:val="24"/>
        </w:rPr>
        <w:t>Technical Paper No.</w:t>
      </w:r>
      <w:r w:rsidR="00650AE8" w:rsidRPr="00F314C1">
        <w:rPr>
          <w:rFonts w:asciiTheme="minorHAnsi" w:hAnsiTheme="minorHAnsi"/>
          <w:sz w:val="24"/>
          <w:szCs w:val="24"/>
        </w:rPr>
        <w:t xml:space="preserve"> </w:t>
      </w:r>
      <w:r w:rsidRPr="00F314C1">
        <w:rPr>
          <w:rFonts w:asciiTheme="minorHAnsi" w:hAnsiTheme="minorHAnsi"/>
          <w:sz w:val="24"/>
          <w:szCs w:val="24"/>
        </w:rPr>
        <w:t xml:space="preserve">387 – </w:t>
      </w:r>
      <w:r w:rsidRPr="00F314C1">
        <w:rPr>
          <w:rFonts w:asciiTheme="minorHAnsi" w:hAnsiTheme="minorHAnsi"/>
          <w:i/>
          <w:sz w:val="24"/>
          <w:szCs w:val="24"/>
        </w:rPr>
        <w:t>Alaska Subsistence and Personal Use Salmon Fisheries 2011 Annual Report</w:t>
      </w:r>
      <w:r w:rsidRPr="00F314C1">
        <w:rPr>
          <w:rFonts w:asciiTheme="minorHAnsi" w:hAnsiTheme="minorHAnsi"/>
          <w:sz w:val="24"/>
          <w:szCs w:val="24"/>
        </w:rPr>
        <w:t xml:space="preserve"> provides the most recent </w:t>
      </w:r>
      <w:r w:rsidR="002C58BD" w:rsidRPr="00F314C1">
        <w:rPr>
          <w:rFonts w:asciiTheme="minorHAnsi" w:hAnsiTheme="minorHAnsi"/>
          <w:sz w:val="24"/>
          <w:szCs w:val="24"/>
        </w:rPr>
        <w:t xml:space="preserve">summary of </w:t>
      </w:r>
      <w:r w:rsidRPr="00F314C1">
        <w:rPr>
          <w:rFonts w:asciiTheme="minorHAnsi" w:hAnsiTheme="minorHAnsi"/>
          <w:sz w:val="24"/>
          <w:szCs w:val="24"/>
        </w:rPr>
        <w:t>compiled data on subsistence and personal use salmon harvest data.</w:t>
      </w:r>
      <w:r w:rsidR="009E21FF" w:rsidRPr="00F314C1">
        <w:rPr>
          <w:rFonts w:asciiTheme="minorHAnsi" w:hAnsiTheme="minorHAnsi"/>
          <w:sz w:val="24"/>
          <w:szCs w:val="24"/>
        </w:rPr>
        <w:t xml:space="preserve"> Using the data collected by the harvest monitoring program</w:t>
      </w:r>
      <w:r w:rsidR="002C58BD" w:rsidRPr="00F314C1">
        <w:rPr>
          <w:rFonts w:asciiTheme="minorHAnsi" w:hAnsiTheme="minorHAnsi"/>
          <w:sz w:val="24"/>
          <w:szCs w:val="24"/>
        </w:rPr>
        <w:t>,</w:t>
      </w:r>
      <w:r w:rsidR="009E21FF" w:rsidRPr="00F314C1">
        <w:rPr>
          <w:rFonts w:asciiTheme="minorHAnsi" w:hAnsiTheme="minorHAnsi"/>
          <w:sz w:val="24"/>
          <w:szCs w:val="24"/>
        </w:rPr>
        <w:t xml:space="preserve"> ADF</w:t>
      </w:r>
      <w:r w:rsidR="00F446FF" w:rsidRPr="00F314C1">
        <w:rPr>
          <w:rFonts w:asciiTheme="minorHAnsi" w:hAnsiTheme="minorHAnsi"/>
          <w:sz w:val="24"/>
          <w:szCs w:val="24"/>
        </w:rPr>
        <w:t>&amp;</w:t>
      </w:r>
      <w:r w:rsidR="009E21FF" w:rsidRPr="00F314C1">
        <w:rPr>
          <w:rFonts w:asciiTheme="minorHAnsi" w:hAnsiTheme="minorHAnsi"/>
          <w:sz w:val="24"/>
          <w:szCs w:val="24"/>
        </w:rPr>
        <w:t xml:space="preserve">G estimates </w:t>
      </w:r>
      <w:r w:rsidR="00701B56" w:rsidRPr="00F314C1">
        <w:rPr>
          <w:rFonts w:asciiTheme="minorHAnsi" w:hAnsiTheme="minorHAnsi"/>
          <w:sz w:val="24"/>
          <w:szCs w:val="24"/>
        </w:rPr>
        <w:t xml:space="preserve">that </w:t>
      </w:r>
      <w:r w:rsidR="002C58BD" w:rsidRPr="00F314C1">
        <w:rPr>
          <w:rFonts w:asciiTheme="minorHAnsi" w:hAnsiTheme="minorHAnsi"/>
          <w:sz w:val="24"/>
          <w:szCs w:val="24"/>
        </w:rPr>
        <w:t xml:space="preserve">more than </w:t>
      </w:r>
      <w:r w:rsidR="009E21FF" w:rsidRPr="00F314C1">
        <w:rPr>
          <w:rFonts w:asciiTheme="minorHAnsi" w:hAnsiTheme="minorHAnsi"/>
          <w:sz w:val="24"/>
          <w:szCs w:val="24"/>
        </w:rPr>
        <w:t xml:space="preserve">1.63 million pounds of salmon </w:t>
      </w:r>
      <w:r w:rsidR="007D7FAC" w:rsidRPr="00F314C1">
        <w:rPr>
          <w:rFonts w:asciiTheme="minorHAnsi" w:hAnsiTheme="minorHAnsi"/>
          <w:sz w:val="24"/>
          <w:szCs w:val="24"/>
        </w:rPr>
        <w:t xml:space="preserve">are harvested by </w:t>
      </w:r>
      <w:r w:rsidR="002C58BD" w:rsidRPr="00F314C1">
        <w:rPr>
          <w:rFonts w:asciiTheme="minorHAnsi" w:hAnsiTheme="minorHAnsi"/>
          <w:sz w:val="24"/>
          <w:szCs w:val="24"/>
        </w:rPr>
        <w:t xml:space="preserve">more than </w:t>
      </w:r>
      <w:r w:rsidR="007D7FAC" w:rsidRPr="00F314C1">
        <w:rPr>
          <w:rFonts w:asciiTheme="minorHAnsi" w:hAnsiTheme="minorHAnsi"/>
          <w:sz w:val="24"/>
          <w:szCs w:val="24"/>
        </w:rPr>
        <w:t>60,000 permitted households.</w:t>
      </w:r>
    </w:p>
    <w:p w14:paraId="64988067" w14:textId="48DECFD5" w:rsidR="00641743" w:rsidRPr="00F314C1" w:rsidRDefault="00D50003" w:rsidP="00C379D4">
      <w:pPr>
        <w:jc w:val="both"/>
        <w:rPr>
          <w:rFonts w:asciiTheme="minorHAnsi" w:hAnsiTheme="minorHAnsi"/>
          <w:sz w:val="24"/>
          <w:szCs w:val="24"/>
        </w:rPr>
      </w:pPr>
      <w:r w:rsidRPr="00F314C1">
        <w:rPr>
          <w:rFonts w:asciiTheme="minorHAnsi" w:hAnsiTheme="minorHAnsi"/>
          <w:i/>
          <w:sz w:val="24"/>
          <w:szCs w:val="24"/>
        </w:rPr>
        <w:t>Subsistence in Alaska: A</w:t>
      </w:r>
      <w:r w:rsidR="00650668" w:rsidRPr="00F314C1">
        <w:rPr>
          <w:rFonts w:asciiTheme="minorHAnsi" w:hAnsiTheme="minorHAnsi"/>
          <w:i/>
          <w:sz w:val="24"/>
          <w:szCs w:val="24"/>
        </w:rPr>
        <w:t xml:space="preserve"> </w:t>
      </w:r>
      <w:r w:rsidRPr="00F314C1">
        <w:rPr>
          <w:rFonts w:asciiTheme="minorHAnsi" w:hAnsiTheme="minorHAnsi"/>
          <w:i/>
          <w:sz w:val="24"/>
          <w:szCs w:val="24"/>
        </w:rPr>
        <w:t>Year 2012 Update</w:t>
      </w:r>
      <w:r w:rsidRPr="00F314C1">
        <w:rPr>
          <w:rFonts w:asciiTheme="minorHAnsi" w:hAnsiTheme="minorHAnsi"/>
          <w:sz w:val="24"/>
          <w:szCs w:val="24"/>
        </w:rPr>
        <w:t xml:space="preserve"> estimates that rural Alaskans harvest approximately 295 </w:t>
      </w:r>
      <w:r w:rsidR="00096125" w:rsidRPr="00F314C1">
        <w:rPr>
          <w:rFonts w:asciiTheme="minorHAnsi" w:hAnsiTheme="minorHAnsi"/>
          <w:sz w:val="24"/>
          <w:szCs w:val="24"/>
        </w:rPr>
        <w:t>pounds</w:t>
      </w:r>
      <w:r w:rsidRPr="00F314C1">
        <w:rPr>
          <w:rFonts w:asciiTheme="minorHAnsi" w:hAnsiTheme="minorHAnsi"/>
          <w:sz w:val="24"/>
          <w:szCs w:val="24"/>
        </w:rPr>
        <w:t xml:space="preserve"> of w</w:t>
      </w:r>
      <w:r w:rsidR="000D66C5" w:rsidRPr="00F314C1">
        <w:rPr>
          <w:rFonts w:asciiTheme="minorHAnsi" w:hAnsiTheme="minorHAnsi"/>
          <w:sz w:val="24"/>
          <w:szCs w:val="24"/>
        </w:rPr>
        <w:t xml:space="preserve">ild foods per person each year on </w:t>
      </w:r>
      <w:r w:rsidR="007D7FAC" w:rsidRPr="00F314C1">
        <w:rPr>
          <w:rFonts w:asciiTheme="minorHAnsi" w:hAnsiTheme="minorHAnsi"/>
          <w:sz w:val="24"/>
          <w:szCs w:val="24"/>
        </w:rPr>
        <w:t>average, and approximately 53% (</w:t>
      </w:r>
      <w:r w:rsidR="000D66C5" w:rsidRPr="00F314C1">
        <w:rPr>
          <w:rFonts w:asciiTheme="minorHAnsi" w:hAnsiTheme="minorHAnsi"/>
          <w:sz w:val="24"/>
          <w:szCs w:val="24"/>
        </w:rPr>
        <w:t>or 156 pounds</w:t>
      </w:r>
      <w:r w:rsidR="007D7FAC" w:rsidRPr="00F314C1">
        <w:rPr>
          <w:rFonts w:asciiTheme="minorHAnsi" w:hAnsiTheme="minorHAnsi"/>
          <w:sz w:val="24"/>
          <w:szCs w:val="24"/>
        </w:rPr>
        <w:t>)</w:t>
      </w:r>
      <w:r w:rsidR="000D66C5" w:rsidRPr="00F314C1">
        <w:rPr>
          <w:rFonts w:asciiTheme="minorHAnsi" w:hAnsiTheme="minorHAnsi"/>
          <w:sz w:val="24"/>
          <w:szCs w:val="24"/>
        </w:rPr>
        <w:t xml:space="preserve"> of this subsistence harvest is fish. While there is </w:t>
      </w:r>
      <w:r w:rsidR="00D23C5D" w:rsidRPr="00F314C1">
        <w:rPr>
          <w:rFonts w:asciiTheme="minorHAnsi" w:hAnsiTheme="minorHAnsi"/>
          <w:sz w:val="24"/>
          <w:szCs w:val="24"/>
        </w:rPr>
        <w:t>likely</w:t>
      </w:r>
      <w:r w:rsidR="000D66C5" w:rsidRPr="00F314C1">
        <w:rPr>
          <w:rFonts w:asciiTheme="minorHAnsi" w:hAnsiTheme="minorHAnsi"/>
          <w:sz w:val="24"/>
          <w:szCs w:val="24"/>
        </w:rPr>
        <w:t xml:space="preserve"> variation in fish harvest between communities, ADF</w:t>
      </w:r>
      <w:r w:rsidR="00F446FF" w:rsidRPr="00F314C1">
        <w:rPr>
          <w:rFonts w:asciiTheme="minorHAnsi" w:hAnsiTheme="minorHAnsi"/>
          <w:sz w:val="24"/>
          <w:szCs w:val="24"/>
        </w:rPr>
        <w:t>&amp;</w:t>
      </w:r>
      <w:r w:rsidR="000D66C5" w:rsidRPr="00F314C1">
        <w:rPr>
          <w:rFonts w:asciiTheme="minorHAnsi" w:hAnsiTheme="minorHAnsi"/>
          <w:sz w:val="24"/>
          <w:szCs w:val="24"/>
        </w:rPr>
        <w:t>G estimates that 95% of total rural household participating in subsistence activities use fish and 83% harvest fish themselves.</w:t>
      </w:r>
    </w:p>
    <w:p w14:paraId="64988068" w14:textId="40295BD2" w:rsidR="000D66C5" w:rsidRPr="00F314C1" w:rsidRDefault="002171F0" w:rsidP="00C379D4">
      <w:pPr>
        <w:pStyle w:val="Heading4"/>
        <w:jc w:val="both"/>
        <w:rPr>
          <w:rFonts w:asciiTheme="minorHAnsi" w:hAnsiTheme="minorHAnsi"/>
          <w:i w:val="0"/>
          <w:sz w:val="24"/>
          <w:szCs w:val="24"/>
        </w:rPr>
      </w:pPr>
      <w:r w:rsidRPr="00F314C1">
        <w:rPr>
          <w:rFonts w:asciiTheme="minorHAnsi" w:hAnsiTheme="minorHAnsi"/>
          <w:i w:val="0"/>
          <w:sz w:val="24"/>
          <w:szCs w:val="24"/>
        </w:rPr>
        <w:t xml:space="preserve">Technical Paper No. 261 by Robert J. Wolfe and Charles J. </w:t>
      </w:r>
      <w:proofErr w:type="spellStart"/>
      <w:r w:rsidRPr="00F314C1">
        <w:rPr>
          <w:rFonts w:asciiTheme="minorHAnsi" w:hAnsiTheme="minorHAnsi"/>
          <w:i w:val="0"/>
          <w:sz w:val="24"/>
          <w:szCs w:val="24"/>
        </w:rPr>
        <w:t>Utermohle</w:t>
      </w:r>
      <w:proofErr w:type="spellEnd"/>
      <w:r w:rsidRPr="00F314C1">
        <w:rPr>
          <w:rFonts w:asciiTheme="minorHAnsi" w:hAnsiTheme="minorHAnsi"/>
          <w:i w:val="0"/>
          <w:sz w:val="24"/>
          <w:szCs w:val="24"/>
        </w:rPr>
        <w:t xml:space="preserve"> </w:t>
      </w:r>
      <w:r w:rsidR="005A264F" w:rsidRPr="00F314C1">
        <w:rPr>
          <w:rFonts w:asciiTheme="minorHAnsi" w:hAnsiTheme="minorHAnsi"/>
          <w:i w:val="0"/>
          <w:sz w:val="24"/>
          <w:szCs w:val="24"/>
        </w:rPr>
        <w:t>proposes</w:t>
      </w:r>
      <w:r w:rsidRPr="00F314C1">
        <w:rPr>
          <w:rFonts w:asciiTheme="minorHAnsi" w:hAnsiTheme="minorHAnsi"/>
          <w:i w:val="0"/>
          <w:sz w:val="24"/>
          <w:szCs w:val="24"/>
        </w:rPr>
        <w:t xml:space="preserve"> a standardized </w:t>
      </w:r>
      <w:r w:rsidR="005A264F" w:rsidRPr="00F314C1">
        <w:rPr>
          <w:rFonts w:asciiTheme="minorHAnsi" w:hAnsiTheme="minorHAnsi"/>
          <w:i w:val="0"/>
          <w:sz w:val="24"/>
          <w:szCs w:val="24"/>
        </w:rPr>
        <w:t xml:space="preserve">method </w:t>
      </w:r>
      <w:r w:rsidRPr="00F314C1">
        <w:rPr>
          <w:rFonts w:asciiTheme="minorHAnsi" w:hAnsiTheme="minorHAnsi"/>
          <w:i w:val="0"/>
          <w:sz w:val="24"/>
          <w:szCs w:val="24"/>
        </w:rPr>
        <w:t>for estimating measures of wild food consumption in Alaska using indirect measures based on annual harvest and use of wild resources from household surveys conducted by ADF</w:t>
      </w:r>
      <w:r w:rsidR="002D31C7" w:rsidRPr="00F314C1">
        <w:rPr>
          <w:rFonts w:asciiTheme="minorHAnsi" w:hAnsiTheme="minorHAnsi"/>
          <w:i w:val="0"/>
          <w:sz w:val="24"/>
          <w:szCs w:val="24"/>
        </w:rPr>
        <w:t>&amp;</w:t>
      </w:r>
      <w:r w:rsidRPr="00F314C1">
        <w:rPr>
          <w:rFonts w:asciiTheme="minorHAnsi" w:hAnsiTheme="minorHAnsi"/>
          <w:i w:val="0"/>
          <w:sz w:val="24"/>
          <w:szCs w:val="24"/>
        </w:rPr>
        <w:t xml:space="preserve">G Division of Subsistence. The </w:t>
      </w:r>
      <w:r w:rsidR="00A03E18" w:rsidRPr="00F314C1">
        <w:rPr>
          <w:rFonts w:asciiTheme="minorHAnsi" w:hAnsiTheme="minorHAnsi"/>
          <w:i w:val="0"/>
          <w:sz w:val="24"/>
          <w:szCs w:val="24"/>
        </w:rPr>
        <w:t>report discusses</w:t>
      </w:r>
      <w:r w:rsidRPr="00F314C1">
        <w:rPr>
          <w:rFonts w:asciiTheme="minorHAnsi" w:hAnsiTheme="minorHAnsi"/>
          <w:i w:val="0"/>
          <w:sz w:val="24"/>
          <w:szCs w:val="24"/>
        </w:rPr>
        <w:t xml:space="preserve"> t</w:t>
      </w:r>
      <w:r w:rsidR="00A90CE4" w:rsidRPr="00F314C1">
        <w:rPr>
          <w:rFonts w:asciiTheme="minorHAnsi" w:hAnsiTheme="minorHAnsi"/>
          <w:i w:val="0"/>
          <w:sz w:val="24"/>
          <w:szCs w:val="24"/>
        </w:rPr>
        <w:t xml:space="preserve">he process of extrapolating </w:t>
      </w:r>
      <w:r w:rsidRPr="00F314C1">
        <w:rPr>
          <w:rFonts w:asciiTheme="minorHAnsi" w:hAnsiTheme="minorHAnsi"/>
          <w:i w:val="0"/>
          <w:sz w:val="24"/>
          <w:szCs w:val="24"/>
        </w:rPr>
        <w:t xml:space="preserve">consumption estimates, </w:t>
      </w:r>
      <w:r w:rsidR="00A03E18" w:rsidRPr="00F314C1">
        <w:rPr>
          <w:rFonts w:asciiTheme="minorHAnsi" w:hAnsiTheme="minorHAnsi"/>
          <w:i w:val="0"/>
          <w:sz w:val="24"/>
          <w:szCs w:val="24"/>
        </w:rPr>
        <w:t>but does not</w:t>
      </w:r>
      <w:r w:rsidRPr="00F314C1">
        <w:rPr>
          <w:rFonts w:asciiTheme="minorHAnsi" w:hAnsiTheme="minorHAnsi"/>
          <w:i w:val="0"/>
          <w:sz w:val="24"/>
          <w:szCs w:val="24"/>
        </w:rPr>
        <w:t xml:space="preserve"> provi</w:t>
      </w:r>
      <w:r w:rsidR="007D7FAC" w:rsidRPr="00F314C1">
        <w:rPr>
          <w:rFonts w:asciiTheme="minorHAnsi" w:hAnsiTheme="minorHAnsi"/>
          <w:i w:val="0"/>
          <w:sz w:val="24"/>
          <w:szCs w:val="24"/>
        </w:rPr>
        <w:t>d</w:t>
      </w:r>
      <w:r w:rsidR="00A03E18" w:rsidRPr="00F314C1">
        <w:rPr>
          <w:rFonts w:asciiTheme="minorHAnsi" w:hAnsiTheme="minorHAnsi"/>
          <w:i w:val="0"/>
          <w:sz w:val="24"/>
          <w:szCs w:val="24"/>
        </w:rPr>
        <w:t>e</w:t>
      </w:r>
      <w:r w:rsidR="007D7FAC" w:rsidRPr="00F314C1">
        <w:rPr>
          <w:rFonts w:asciiTheme="minorHAnsi" w:hAnsiTheme="minorHAnsi"/>
          <w:i w:val="0"/>
          <w:sz w:val="24"/>
          <w:szCs w:val="24"/>
        </w:rPr>
        <w:t xml:space="preserve"> specific consumption data. H</w:t>
      </w:r>
      <w:r w:rsidRPr="00F314C1">
        <w:rPr>
          <w:rFonts w:asciiTheme="minorHAnsi" w:hAnsiTheme="minorHAnsi"/>
          <w:i w:val="0"/>
          <w:sz w:val="24"/>
          <w:szCs w:val="24"/>
        </w:rPr>
        <w:t>owever</w:t>
      </w:r>
      <w:r w:rsidR="00A03E18" w:rsidRPr="00F314C1">
        <w:rPr>
          <w:rFonts w:asciiTheme="minorHAnsi" w:hAnsiTheme="minorHAnsi"/>
          <w:i w:val="0"/>
          <w:sz w:val="24"/>
          <w:szCs w:val="24"/>
        </w:rPr>
        <w:t xml:space="preserve">, </w:t>
      </w:r>
      <w:proofErr w:type="spellStart"/>
      <w:r w:rsidR="00A03E18" w:rsidRPr="00F314C1">
        <w:rPr>
          <w:rFonts w:asciiTheme="minorHAnsi" w:hAnsiTheme="minorHAnsi"/>
          <w:i w:val="0"/>
          <w:sz w:val="24"/>
          <w:szCs w:val="24"/>
        </w:rPr>
        <w:t>Ouzinkie</w:t>
      </w:r>
      <w:proofErr w:type="spellEnd"/>
      <w:r w:rsidR="00A03E18" w:rsidRPr="00F314C1">
        <w:rPr>
          <w:rFonts w:asciiTheme="minorHAnsi" w:hAnsiTheme="minorHAnsi"/>
          <w:i w:val="0"/>
          <w:sz w:val="24"/>
          <w:szCs w:val="24"/>
        </w:rPr>
        <w:t xml:space="preserve">, Kodiak Island is used to demonstrate application of the process and results are presented for </w:t>
      </w:r>
      <w:r w:rsidRPr="00F314C1">
        <w:rPr>
          <w:rFonts w:asciiTheme="minorHAnsi" w:hAnsiTheme="minorHAnsi"/>
          <w:i w:val="0"/>
          <w:sz w:val="24"/>
          <w:szCs w:val="24"/>
        </w:rPr>
        <w:t xml:space="preserve">mean per capita </w:t>
      </w:r>
      <w:r w:rsidRPr="00F314C1">
        <w:rPr>
          <w:rFonts w:asciiTheme="minorHAnsi" w:hAnsiTheme="minorHAnsi"/>
          <w:i w:val="0"/>
          <w:sz w:val="24"/>
          <w:szCs w:val="24"/>
        </w:rPr>
        <w:lastRenderedPageBreak/>
        <w:t>harvest, percentage con</w:t>
      </w:r>
      <w:r w:rsidR="00A90CE4" w:rsidRPr="00F314C1">
        <w:rPr>
          <w:rFonts w:asciiTheme="minorHAnsi" w:hAnsiTheme="minorHAnsi"/>
          <w:i w:val="0"/>
          <w:sz w:val="24"/>
          <w:szCs w:val="24"/>
        </w:rPr>
        <w:t>tribution to total harvest, mean wild food use in g/</w:t>
      </w:r>
      <w:r w:rsidRPr="00F314C1">
        <w:rPr>
          <w:rFonts w:asciiTheme="minorHAnsi" w:hAnsiTheme="minorHAnsi"/>
          <w:i w:val="0"/>
          <w:sz w:val="24"/>
          <w:szCs w:val="24"/>
        </w:rPr>
        <w:t>day, 95% percent upper confidence limit of the mean, 50</w:t>
      </w:r>
      <w:r w:rsidRPr="00F314C1">
        <w:rPr>
          <w:rFonts w:asciiTheme="minorHAnsi" w:hAnsiTheme="minorHAnsi"/>
          <w:i w:val="0"/>
          <w:sz w:val="24"/>
          <w:szCs w:val="24"/>
          <w:vertAlign w:val="superscript"/>
        </w:rPr>
        <w:t>th</w:t>
      </w:r>
      <w:r w:rsidRPr="00F314C1">
        <w:rPr>
          <w:rFonts w:asciiTheme="minorHAnsi" w:hAnsiTheme="minorHAnsi"/>
          <w:i w:val="0"/>
          <w:sz w:val="24"/>
          <w:szCs w:val="24"/>
        </w:rPr>
        <w:t xml:space="preserve"> percentile use, 95</w:t>
      </w:r>
      <w:r w:rsidRPr="00F314C1">
        <w:rPr>
          <w:rFonts w:asciiTheme="minorHAnsi" w:hAnsiTheme="minorHAnsi"/>
          <w:i w:val="0"/>
          <w:sz w:val="24"/>
          <w:szCs w:val="24"/>
          <w:vertAlign w:val="superscript"/>
        </w:rPr>
        <w:t>th</w:t>
      </w:r>
      <w:r w:rsidRPr="00F314C1">
        <w:rPr>
          <w:rFonts w:asciiTheme="minorHAnsi" w:hAnsiTheme="minorHAnsi"/>
          <w:i w:val="0"/>
          <w:sz w:val="24"/>
          <w:szCs w:val="24"/>
        </w:rPr>
        <w:t xml:space="preserve"> percentile use</w:t>
      </w:r>
      <w:r w:rsidR="00A03E18" w:rsidRPr="00F314C1">
        <w:rPr>
          <w:rFonts w:asciiTheme="minorHAnsi" w:hAnsiTheme="minorHAnsi"/>
          <w:i w:val="0"/>
          <w:sz w:val="24"/>
          <w:szCs w:val="24"/>
        </w:rPr>
        <w:t>,</w:t>
      </w:r>
      <w:r w:rsidRPr="00F314C1">
        <w:rPr>
          <w:rFonts w:asciiTheme="minorHAnsi" w:hAnsiTheme="minorHAnsi"/>
          <w:i w:val="0"/>
          <w:sz w:val="24"/>
          <w:szCs w:val="24"/>
        </w:rPr>
        <w:t xml:space="preserve"> and 100</w:t>
      </w:r>
      <w:r w:rsidRPr="00F314C1">
        <w:rPr>
          <w:rFonts w:asciiTheme="minorHAnsi" w:hAnsiTheme="minorHAnsi"/>
          <w:i w:val="0"/>
          <w:sz w:val="24"/>
          <w:szCs w:val="24"/>
          <w:vertAlign w:val="superscript"/>
        </w:rPr>
        <w:t>th</w:t>
      </w:r>
      <w:r w:rsidRPr="00F314C1">
        <w:rPr>
          <w:rFonts w:asciiTheme="minorHAnsi" w:hAnsiTheme="minorHAnsi"/>
          <w:i w:val="0"/>
          <w:sz w:val="24"/>
          <w:szCs w:val="24"/>
        </w:rPr>
        <w:t xml:space="preserve"> percentile use.</w:t>
      </w:r>
      <w:r w:rsidR="006F70D5" w:rsidRPr="00F314C1">
        <w:rPr>
          <w:rFonts w:asciiTheme="minorHAnsi" w:hAnsiTheme="minorHAnsi"/>
          <w:i w:val="0"/>
          <w:sz w:val="24"/>
          <w:szCs w:val="24"/>
        </w:rPr>
        <w:t xml:space="preserve"> These values are provided for </w:t>
      </w:r>
      <w:r w:rsidR="000B7026" w:rsidRPr="00F314C1">
        <w:rPr>
          <w:rFonts w:asciiTheme="minorHAnsi" w:hAnsiTheme="minorHAnsi"/>
          <w:i w:val="0"/>
          <w:sz w:val="24"/>
          <w:szCs w:val="24"/>
        </w:rPr>
        <w:t xml:space="preserve">more than </w:t>
      </w:r>
      <w:r w:rsidR="006F70D5" w:rsidRPr="00F314C1">
        <w:rPr>
          <w:rFonts w:asciiTheme="minorHAnsi" w:hAnsiTheme="minorHAnsi"/>
          <w:i w:val="0"/>
          <w:sz w:val="24"/>
          <w:szCs w:val="24"/>
        </w:rPr>
        <w:t>25 s</w:t>
      </w:r>
      <w:r w:rsidR="007D7FAC" w:rsidRPr="00F314C1">
        <w:rPr>
          <w:rFonts w:asciiTheme="minorHAnsi" w:hAnsiTheme="minorHAnsi"/>
          <w:i w:val="0"/>
          <w:sz w:val="24"/>
          <w:szCs w:val="24"/>
        </w:rPr>
        <w:t>pecies of fish. F</w:t>
      </w:r>
      <w:r w:rsidR="006F70D5" w:rsidRPr="00F314C1">
        <w:rPr>
          <w:rFonts w:asciiTheme="minorHAnsi" w:hAnsiTheme="minorHAnsi"/>
          <w:i w:val="0"/>
          <w:sz w:val="24"/>
          <w:szCs w:val="24"/>
        </w:rPr>
        <w:t>or fish overall, it is estimate</w:t>
      </w:r>
      <w:r w:rsidR="007D7FAC" w:rsidRPr="00F314C1">
        <w:rPr>
          <w:rFonts w:asciiTheme="minorHAnsi" w:hAnsiTheme="minorHAnsi"/>
          <w:i w:val="0"/>
          <w:sz w:val="24"/>
          <w:szCs w:val="24"/>
        </w:rPr>
        <w:t>d that the mean use per person</w:t>
      </w:r>
      <w:r w:rsidR="006F70D5" w:rsidRPr="00F314C1">
        <w:rPr>
          <w:rFonts w:asciiTheme="minorHAnsi" w:hAnsiTheme="minorHAnsi"/>
          <w:i w:val="0"/>
          <w:sz w:val="24"/>
          <w:szCs w:val="24"/>
        </w:rPr>
        <w:t xml:space="preserve"> in </w:t>
      </w:r>
      <w:proofErr w:type="spellStart"/>
      <w:r w:rsidR="006F70D5" w:rsidRPr="00F314C1">
        <w:rPr>
          <w:rFonts w:asciiTheme="minorHAnsi" w:hAnsiTheme="minorHAnsi"/>
          <w:i w:val="0"/>
          <w:sz w:val="24"/>
          <w:szCs w:val="24"/>
        </w:rPr>
        <w:t>Ouzinkie</w:t>
      </w:r>
      <w:proofErr w:type="spellEnd"/>
      <w:r w:rsidR="006F70D5" w:rsidRPr="00F314C1">
        <w:rPr>
          <w:rFonts w:asciiTheme="minorHAnsi" w:hAnsiTheme="minorHAnsi"/>
          <w:i w:val="0"/>
          <w:sz w:val="24"/>
          <w:szCs w:val="24"/>
        </w:rPr>
        <w:t xml:space="preserve"> is 3</w:t>
      </w:r>
      <w:r w:rsidR="004E0EEA" w:rsidRPr="00F314C1">
        <w:rPr>
          <w:rFonts w:asciiTheme="minorHAnsi" w:hAnsiTheme="minorHAnsi"/>
          <w:i w:val="0"/>
          <w:sz w:val="24"/>
          <w:szCs w:val="24"/>
        </w:rPr>
        <w:t>67.37</w:t>
      </w:r>
      <w:r w:rsidR="006F70D5" w:rsidRPr="00F314C1">
        <w:rPr>
          <w:rFonts w:asciiTheme="minorHAnsi" w:hAnsiTheme="minorHAnsi"/>
          <w:i w:val="0"/>
          <w:sz w:val="24"/>
          <w:szCs w:val="24"/>
        </w:rPr>
        <w:t xml:space="preserve"> g/day</w:t>
      </w:r>
      <w:r w:rsidR="004E0EEA" w:rsidRPr="00F314C1">
        <w:rPr>
          <w:rFonts w:asciiTheme="minorHAnsi" w:hAnsiTheme="minorHAnsi"/>
          <w:i w:val="0"/>
          <w:sz w:val="24"/>
          <w:szCs w:val="24"/>
        </w:rPr>
        <w:t xml:space="preserve"> (95% CI)</w:t>
      </w:r>
      <w:r w:rsidR="006F70D5" w:rsidRPr="00F314C1">
        <w:rPr>
          <w:rFonts w:asciiTheme="minorHAnsi" w:hAnsiTheme="minorHAnsi"/>
          <w:i w:val="0"/>
          <w:sz w:val="24"/>
          <w:szCs w:val="24"/>
        </w:rPr>
        <w:t>.</w:t>
      </w:r>
      <w:r w:rsidRPr="00F314C1">
        <w:rPr>
          <w:rFonts w:asciiTheme="minorHAnsi" w:hAnsiTheme="minorHAnsi"/>
          <w:i w:val="0"/>
          <w:sz w:val="24"/>
          <w:szCs w:val="24"/>
        </w:rPr>
        <w:t xml:space="preserve"> </w:t>
      </w:r>
    </w:p>
    <w:p w14:paraId="64988069" w14:textId="4225CDBA" w:rsidR="00563F45" w:rsidRPr="00F314C1" w:rsidRDefault="00563F45" w:rsidP="00C379D4">
      <w:pPr>
        <w:pStyle w:val="Heading4"/>
        <w:keepNext/>
        <w:jc w:val="both"/>
        <w:rPr>
          <w:sz w:val="24"/>
          <w:szCs w:val="24"/>
        </w:rPr>
      </w:pPr>
      <w:r w:rsidRPr="00F314C1">
        <w:rPr>
          <w:sz w:val="24"/>
          <w:szCs w:val="24"/>
        </w:rPr>
        <w:t xml:space="preserve">Applicability of the Data for use in Determining </w:t>
      </w:r>
      <w:r w:rsidR="007F6D08" w:rsidRPr="00F314C1">
        <w:rPr>
          <w:sz w:val="24"/>
          <w:szCs w:val="24"/>
        </w:rPr>
        <w:t>FCR</w:t>
      </w:r>
      <w:r w:rsidRPr="00F314C1">
        <w:rPr>
          <w:sz w:val="24"/>
          <w:szCs w:val="24"/>
        </w:rPr>
        <w:t>s</w:t>
      </w:r>
    </w:p>
    <w:p w14:paraId="6498806A" w14:textId="33187D3D" w:rsidR="002171F0" w:rsidRPr="00F314C1" w:rsidRDefault="004E7BCA" w:rsidP="00C379D4">
      <w:pPr>
        <w:pStyle w:val="ListParagraph"/>
        <w:keepNext/>
        <w:spacing w:after="240"/>
        <w:ind w:left="0"/>
        <w:jc w:val="both"/>
        <w:rPr>
          <w:rFonts w:asciiTheme="minorHAnsi" w:hAnsiTheme="minorHAnsi"/>
          <w:sz w:val="24"/>
          <w:szCs w:val="24"/>
        </w:rPr>
      </w:pPr>
      <w:r w:rsidRPr="00F314C1">
        <w:rPr>
          <w:rFonts w:asciiTheme="minorHAnsi" w:hAnsiTheme="minorHAnsi"/>
          <w:sz w:val="24"/>
          <w:szCs w:val="24"/>
        </w:rPr>
        <w:t>The ADF</w:t>
      </w:r>
      <w:r w:rsidR="00052CFD" w:rsidRPr="00F314C1">
        <w:rPr>
          <w:rFonts w:asciiTheme="minorHAnsi" w:hAnsiTheme="minorHAnsi"/>
          <w:sz w:val="24"/>
          <w:szCs w:val="24"/>
        </w:rPr>
        <w:t>&amp;</w:t>
      </w:r>
      <w:r w:rsidRPr="00F314C1">
        <w:rPr>
          <w:rFonts w:asciiTheme="minorHAnsi" w:hAnsiTheme="minorHAnsi"/>
          <w:sz w:val="24"/>
          <w:szCs w:val="24"/>
        </w:rPr>
        <w:t xml:space="preserve">G has a </w:t>
      </w:r>
      <w:r w:rsidR="005A264F" w:rsidRPr="00F314C1">
        <w:rPr>
          <w:rFonts w:asciiTheme="minorHAnsi" w:hAnsiTheme="minorHAnsi"/>
          <w:sz w:val="24"/>
          <w:szCs w:val="24"/>
        </w:rPr>
        <w:t xml:space="preserve">large </w:t>
      </w:r>
      <w:r w:rsidRPr="00F314C1">
        <w:rPr>
          <w:rFonts w:asciiTheme="minorHAnsi" w:hAnsiTheme="minorHAnsi"/>
          <w:sz w:val="24"/>
          <w:szCs w:val="24"/>
        </w:rPr>
        <w:t xml:space="preserve">amount of data </w:t>
      </w:r>
      <w:r w:rsidR="005A264F" w:rsidRPr="00F314C1">
        <w:rPr>
          <w:rFonts w:asciiTheme="minorHAnsi" w:hAnsiTheme="minorHAnsi"/>
          <w:sz w:val="24"/>
          <w:szCs w:val="24"/>
        </w:rPr>
        <w:t xml:space="preserve">on </w:t>
      </w:r>
      <w:r w:rsidRPr="00F314C1">
        <w:rPr>
          <w:rFonts w:asciiTheme="minorHAnsi" w:hAnsiTheme="minorHAnsi"/>
          <w:sz w:val="24"/>
          <w:szCs w:val="24"/>
        </w:rPr>
        <w:t xml:space="preserve">subsistence harvest of food including </w:t>
      </w:r>
      <w:r w:rsidR="005A264F" w:rsidRPr="00F314C1">
        <w:rPr>
          <w:rFonts w:asciiTheme="minorHAnsi" w:hAnsiTheme="minorHAnsi"/>
          <w:sz w:val="24"/>
          <w:szCs w:val="24"/>
        </w:rPr>
        <w:t xml:space="preserve">data on </w:t>
      </w:r>
      <w:r w:rsidRPr="00F314C1">
        <w:rPr>
          <w:rFonts w:asciiTheme="minorHAnsi" w:hAnsiTheme="minorHAnsi"/>
          <w:sz w:val="24"/>
          <w:szCs w:val="24"/>
        </w:rPr>
        <w:t>catch, use</w:t>
      </w:r>
      <w:r w:rsidR="005A264F" w:rsidRPr="00F314C1">
        <w:rPr>
          <w:rFonts w:asciiTheme="minorHAnsi" w:hAnsiTheme="minorHAnsi"/>
          <w:sz w:val="24"/>
          <w:szCs w:val="24"/>
        </w:rPr>
        <w:t>,</w:t>
      </w:r>
      <w:r w:rsidRPr="00F314C1">
        <w:rPr>
          <w:rFonts w:asciiTheme="minorHAnsi" w:hAnsiTheme="minorHAnsi"/>
          <w:sz w:val="24"/>
          <w:szCs w:val="24"/>
        </w:rPr>
        <w:t xml:space="preserve"> and preparation of fish </w:t>
      </w:r>
      <w:r w:rsidR="005A264F" w:rsidRPr="00F314C1">
        <w:rPr>
          <w:rFonts w:asciiTheme="minorHAnsi" w:hAnsiTheme="minorHAnsi"/>
          <w:sz w:val="24"/>
          <w:szCs w:val="24"/>
        </w:rPr>
        <w:t xml:space="preserve">for </w:t>
      </w:r>
      <w:r w:rsidRPr="00F314C1">
        <w:rPr>
          <w:rFonts w:asciiTheme="minorHAnsi" w:hAnsiTheme="minorHAnsi"/>
          <w:sz w:val="24"/>
          <w:szCs w:val="24"/>
        </w:rPr>
        <w:t xml:space="preserve">different regions throughout the state. </w:t>
      </w:r>
      <w:r w:rsidR="005A264F" w:rsidRPr="00F314C1">
        <w:rPr>
          <w:rFonts w:asciiTheme="minorHAnsi" w:hAnsiTheme="minorHAnsi"/>
          <w:sz w:val="24"/>
          <w:szCs w:val="24"/>
        </w:rPr>
        <w:t xml:space="preserve">Any effort to determine FCRs should be conducted in close </w:t>
      </w:r>
      <w:r w:rsidRPr="00F314C1">
        <w:rPr>
          <w:rFonts w:asciiTheme="minorHAnsi" w:hAnsiTheme="minorHAnsi"/>
          <w:sz w:val="24"/>
          <w:szCs w:val="24"/>
        </w:rPr>
        <w:t>consult</w:t>
      </w:r>
      <w:r w:rsidR="005A264F" w:rsidRPr="00F314C1">
        <w:rPr>
          <w:rFonts w:asciiTheme="minorHAnsi" w:hAnsiTheme="minorHAnsi"/>
          <w:sz w:val="24"/>
          <w:szCs w:val="24"/>
        </w:rPr>
        <w:t>ation</w:t>
      </w:r>
      <w:r w:rsidR="00654E9F" w:rsidRPr="00F314C1">
        <w:rPr>
          <w:rFonts w:asciiTheme="minorHAnsi" w:hAnsiTheme="minorHAnsi"/>
          <w:sz w:val="24"/>
          <w:szCs w:val="24"/>
        </w:rPr>
        <w:t xml:space="preserve"> </w:t>
      </w:r>
      <w:r w:rsidRPr="00F314C1">
        <w:rPr>
          <w:rFonts w:asciiTheme="minorHAnsi" w:hAnsiTheme="minorHAnsi"/>
          <w:sz w:val="24"/>
          <w:szCs w:val="24"/>
        </w:rPr>
        <w:t>with ADF</w:t>
      </w:r>
      <w:r w:rsidR="00233D11" w:rsidRPr="00F314C1">
        <w:rPr>
          <w:rFonts w:asciiTheme="minorHAnsi" w:hAnsiTheme="minorHAnsi"/>
          <w:sz w:val="24"/>
          <w:szCs w:val="24"/>
        </w:rPr>
        <w:t>&amp;</w:t>
      </w:r>
      <w:r w:rsidRPr="00F314C1">
        <w:rPr>
          <w:rFonts w:asciiTheme="minorHAnsi" w:hAnsiTheme="minorHAnsi"/>
          <w:sz w:val="24"/>
          <w:szCs w:val="24"/>
        </w:rPr>
        <w:t xml:space="preserve">G to understand </w:t>
      </w:r>
      <w:r w:rsidR="005A264F" w:rsidRPr="00F314C1">
        <w:rPr>
          <w:rFonts w:asciiTheme="minorHAnsi" w:hAnsiTheme="minorHAnsi"/>
          <w:sz w:val="24"/>
          <w:szCs w:val="24"/>
        </w:rPr>
        <w:t xml:space="preserve">what </w:t>
      </w:r>
      <w:r w:rsidRPr="00F314C1">
        <w:rPr>
          <w:rFonts w:asciiTheme="minorHAnsi" w:hAnsiTheme="minorHAnsi"/>
          <w:sz w:val="24"/>
          <w:szCs w:val="24"/>
        </w:rPr>
        <w:t xml:space="preserve">data </w:t>
      </w:r>
      <w:r w:rsidR="005A264F" w:rsidRPr="00F314C1">
        <w:rPr>
          <w:rFonts w:asciiTheme="minorHAnsi" w:hAnsiTheme="minorHAnsi"/>
          <w:sz w:val="24"/>
          <w:szCs w:val="24"/>
        </w:rPr>
        <w:t>may</w:t>
      </w:r>
      <w:r w:rsidRPr="00F314C1">
        <w:rPr>
          <w:rFonts w:asciiTheme="minorHAnsi" w:hAnsiTheme="minorHAnsi"/>
          <w:sz w:val="24"/>
          <w:szCs w:val="24"/>
        </w:rPr>
        <w:t xml:space="preserve"> be applicable for</w:t>
      </w:r>
      <w:r w:rsidR="005A4ADF" w:rsidRPr="00F314C1">
        <w:rPr>
          <w:rFonts w:asciiTheme="minorHAnsi" w:hAnsiTheme="minorHAnsi"/>
          <w:sz w:val="24"/>
          <w:szCs w:val="24"/>
        </w:rPr>
        <w:t xml:space="preserve"> </w:t>
      </w:r>
      <w:r w:rsidR="0005449C" w:rsidRPr="00F314C1">
        <w:rPr>
          <w:rFonts w:asciiTheme="minorHAnsi" w:hAnsiTheme="minorHAnsi"/>
          <w:sz w:val="24"/>
          <w:szCs w:val="24"/>
        </w:rPr>
        <w:t>this purpose</w:t>
      </w:r>
      <w:r w:rsidRPr="00F314C1">
        <w:rPr>
          <w:rFonts w:asciiTheme="minorHAnsi" w:hAnsiTheme="minorHAnsi"/>
          <w:sz w:val="24"/>
          <w:szCs w:val="24"/>
        </w:rPr>
        <w:t xml:space="preserve">. Technical Paper No. 261 provides a </w:t>
      </w:r>
      <w:r w:rsidR="005A264F" w:rsidRPr="00F314C1">
        <w:rPr>
          <w:rFonts w:asciiTheme="minorHAnsi" w:hAnsiTheme="minorHAnsi"/>
          <w:sz w:val="24"/>
          <w:szCs w:val="24"/>
        </w:rPr>
        <w:t>potential method</w:t>
      </w:r>
      <w:r w:rsidRPr="00F314C1">
        <w:rPr>
          <w:rFonts w:asciiTheme="minorHAnsi" w:hAnsiTheme="minorHAnsi"/>
          <w:sz w:val="24"/>
          <w:szCs w:val="24"/>
        </w:rPr>
        <w:t xml:space="preserve"> that can be </w:t>
      </w:r>
      <w:r w:rsidR="005A264F" w:rsidRPr="00F314C1">
        <w:rPr>
          <w:rFonts w:asciiTheme="minorHAnsi" w:hAnsiTheme="minorHAnsi"/>
          <w:sz w:val="24"/>
          <w:szCs w:val="24"/>
        </w:rPr>
        <w:t xml:space="preserve">applied </w:t>
      </w:r>
      <w:r w:rsidRPr="00F314C1">
        <w:rPr>
          <w:rFonts w:asciiTheme="minorHAnsi" w:hAnsiTheme="minorHAnsi"/>
          <w:sz w:val="24"/>
          <w:szCs w:val="24"/>
        </w:rPr>
        <w:t>with ADF</w:t>
      </w:r>
      <w:r w:rsidR="00A90CE4" w:rsidRPr="00F314C1">
        <w:rPr>
          <w:rFonts w:asciiTheme="minorHAnsi" w:hAnsiTheme="minorHAnsi"/>
          <w:sz w:val="24"/>
          <w:szCs w:val="24"/>
        </w:rPr>
        <w:t>&amp;</w:t>
      </w:r>
      <w:r w:rsidRPr="00F314C1">
        <w:rPr>
          <w:rFonts w:asciiTheme="minorHAnsi" w:hAnsiTheme="minorHAnsi"/>
          <w:sz w:val="24"/>
          <w:szCs w:val="24"/>
        </w:rPr>
        <w:t>G data</w:t>
      </w:r>
      <w:r w:rsidR="00A90CE4" w:rsidRPr="00F314C1">
        <w:rPr>
          <w:rFonts w:asciiTheme="minorHAnsi" w:hAnsiTheme="minorHAnsi"/>
          <w:sz w:val="24"/>
          <w:szCs w:val="24"/>
        </w:rPr>
        <w:t>sets</w:t>
      </w:r>
      <w:r w:rsidRPr="00F314C1">
        <w:rPr>
          <w:rFonts w:asciiTheme="minorHAnsi" w:hAnsiTheme="minorHAnsi"/>
          <w:sz w:val="24"/>
          <w:szCs w:val="24"/>
        </w:rPr>
        <w:t>. The capacity in ADF</w:t>
      </w:r>
      <w:r w:rsidR="00233D11" w:rsidRPr="00F314C1">
        <w:rPr>
          <w:rFonts w:asciiTheme="minorHAnsi" w:hAnsiTheme="minorHAnsi"/>
          <w:sz w:val="24"/>
          <w:szCs w:val="24"/>
        </w:rPr>
        <w:t>&amp;</w:t>
      </w:r>
      <w:r w:rsidRPr="00F314C1">
        <w:rPr>
          <w:rFonts w:asciiTheme="minorHAnsi" w:hAnsiTheme="minorHAnsi"/>
          <w:sz w:val="24"/>
          <w:szCs w:val="24"/>
        </w:rPr>
        <w:t xml:space="preserve">G to capture subsistence data is highly developed with monitoring and information gathering programs in place throughout the state. A collaborative effort to understand the systemic differences between use data calculated from harvest data and dietary survey </w:t>
      </w:r>
      <w:r w:rsidR="00654E9F" w:rsidRPr="00F314C1">
        <w:rPr>
          <w:rFonts w:asciiTheme="minorHAnsi" w:hAnsiTheme="minorHAnsi"/>
          <w:sz w:val="24"/>
          <w:szCs w:val="24"/>
        </w:rPr>
        <w:t>data w</w:t>
      </w:r>
      <w:r w:rsidRPr="00F314C1">
        <w:rPr>
          <w:rFonts w:asciiTheme="minorHAnsi" w:hAnsiTheme="minorHAnsi"/>
          <w:sz w:val="24"/>
          <w:szCs w:val="24"/>
        </w:rPr>
        <w:t>ould be highly beneficial and potentially lead to development of a predictive model of consumption.</w:t>
      </w:r>
    </w:p>
    <w:p w14:paraId="6498806C" w14:textId="2F0FFC94" w:rsidR="000D1CAE" w:rsidRPr="00F314C1" w:rsidRDefault="00E478CF" w:rsidP="00C379D4">
      <w:pPr>
        <w:pStyle w:val="SectionHeader"/>
        <w:jc w:val="both"/>
        <w:rPr>
          <w:sz w:val="24"/>
          <w:szCs w:val="24"/>
        </w:rPr>
      </w:pPr>
      <w:bookmarkStart w:id="57" w:name="_Toc391035977"/>
      <w:r w:rsidRPr="00F314C1">
        <w:rPr>
          <w:sz w:val="24"/>
          <w:szCs w:val="24"/>
        </w:rPr>
        <w:t>Data Gaps and Potential Limitations</w:t>
      </w:r>
      <w:bookmarkEnd w:id="57"/>
    </w:p>
    <w:p w14:paraId="4CD7A079" w14:textId="66701FBD" w:rsidR="00FE3484" w:rsidRPr="00F314C1" w:rsidRDefault="00950623" w:rsidP="00C379D4">
      <w:pPr>
        <w:pStyle w:val="Heading1"/>
        <w:jc w:val="both"/>
        <w:rPr>
          <w:sz w:val="24"/>
          <w:szCs w:val="24"/>
        </w:rPr>
      </w:pPr>
      <w:bookmarkStart w:id="58" w:name="_Toc391035978"/>
      <w:r w:rsidRPr="00F314C1">
        <w:rPr>
          <w:sz w:val="24"/>
          <w:szCs w:val="24"/>
        </w:rPr>
        <w:t>Potential Limitations</w:t>
      </w:r>
      <w:bookmarkEnd w:id="58"/>
    </w:p>
    <w:p w14:paraId="0501F56E" w14:textId="33D28AB1" w:rsidR="0002702D" w:rsidRPr="00F314C1" w:rsidRDefault="0002702D" w:rsidP="00C379D4">
      <w:pPr>
        <w:jc w:val="both"/>
        <w:rPr>
          <w:rFonts w:asciiTheme="minorHAnsi" w:hAnsiTheme="minorHAnsi"/>
          <w:sz w:val="24"/>
          <w:szCs w:val="24"/>
        </w:rPr>
      </w:pPr>
      <w:r w:rsidRPr="00F314C1">
        <w:rPr>
          <w:rFonts w:asciiTheme="minorHAnsi" w:hAnsiTheme="minorHAnsi"/>
          <w:sz w:val="24"/>
          <w:szCs w:val="24"/>
        </w:rPr>
        <w:t xml:space="preserve">The literature reviewed and summarized in this report provides an overview of existing information and data that may be useful </w:t>
      </w:r>
      <w:r w:rsidR="00FE3484" w:rsidRPr="00F314C1">
        <w:rPr>
          <w:rFonts w:asciiTheme="minorHAnsi" w:hAnsiTheme="minorHAnsi"/>
          <w:sz w:val="24"/>
          <w:szCs w:val="24"/>
        </w:rPr>
        <w:t>in</w:t>
      </w:r>
      <w:r w:rsidRPr="00F314C1">
        <w:rPr>
          <w:rFonts w:asciiTheme="minorHAnsi" w:hAnsiTheme="minorHAnsi"/>
          <w:sz w:val="24"/>
          <w:szCs w:val="24"/>
        </w:rPr>
        <w:t xml:space="preserve"> future efforts to develop a methodology for calculating </w:t>
      </w:r>
      <w:r w:rsidR="007F6D08" w:rsidRPr="00F314C1">
        <w:rPr>
          <w:rFonts w:asciiTheme="minorHAnsi" w:hAnsiTheme="minorHAnsi"/>
          <w:sz w:val="24"/>
          <w:szCs w:val="24"/>
        </w:rPr>
        <w:t>FCR</w:t>
      </w:r>
      <w:r w:rsidRPr="00F314C1">
        <w:rPr>
          <w:rFonts w:asciiTheme="minorHAnsi" w:hAnsiTheme="minorHAnsi"/>
          <w:sz w:val="24"/>
          <w:szCs w:val="24"/>
        </w:rPr>
        <w:t>s for Alaska. In total</w:t>
      </w:r>
      <w:r w:rsidR="00D52BDB" w:rsidRPr="00F314C1">
        <w:rPr>
          <w:rFonts w:asciiTheme="minorHAnsi" w:hAnsiTheme="minorHAnsi"/>
          <w:sz w:val="24"/>
          <w:szCs w:val="24"/>
        </w:rPr>
        <w:t>, eight dietary survey reports</w:t>
      </w:r>
      <w:r w:rsidRPr="00F314C1">
        <w:rPr>
          <w:rFonts w:asciiTheme="minorHAnsi" w:hAnsiTheme="minorHAnsi"/>
          <w:sz w:val="24"/>
          <w:szCs w:val="24"/>
        </w:rPr>
        <w:t xml:space="preserve"> were reviewed for potential</w:t>
      </w:r>
      <w:r w:rsidR="001725C4" w:rsidRPr="00F314C1">
        <w:rPr>
          <w:rFonts w:asciiTheme="minorHAnsi" w:hAnsiTheme="minorHAnsi"/>
          <w:sz w:val="24"/>
          <w:szCs w:val="24"/>
        </w:rPr>
        <w:t>ly</w:t>
      </w:r>
      <w:r w:rsidRPr="00F314C1">
        <w:rPr>
          <w:rFonts w:asciiTheme="minorHAnsi" w:hAnsiTheme="minorHAnsi"/>
          <w:sz w:val="24"/>
          <w:szCs w:val="24"/>
        </w:rPr>
        <w:t xml:space="preserve"> </w:t>
      </w:r>
      <w:r w:rsidR="001725C4" w:rsidRPr="00F314C1">
        <w:rPr>
          <w:rFonts w:asciiTheme="minorHAnsi" w:hAnsiTheme="minorHAnsi"/>
          <w:sz w:val="24"/>
          <w:szCs w:val="24"/>
        </w:rPr>
        <w:t>applicable data</w:t>
      </w:r>
      <w:r w:rsidRPr="00F314C1">
        <w:rPr>
          <w:rFonts w:asciiTheme="minorHAnsi" w:hAnsiTheme="minorHAnsi"/>
          <w:sz w:val="24"/>
          <w:szCs w:val="24"/>
        </w:rPr>
        <w:t xml:space="preserve"> for use in determining </w:t>
      </w:r>
      <w:r w:rsidR="007F6D08" w:rsidRPr="00F314C1">
        <w:rPr>
          <w:rFonts w:asciiTheme="minorHAnsi" w:hAnsiTheme="minorHAnsi"/>
          <w:sz w:val="24"/>
          <w:szCs w:val="24"/>
        </w:rPr>
        <w:t>FCR</w:t>
      </w:r>
      <w:r w:rsidRPr="00F314C1">
        <w:rPr>
          <w:rFonts w:asciiTheme="minorHAnsi" w:hAnsiTheme="minorHAnsi"/>
          <w:sz w:val="24"/>
          <w:szCs w:val="24"/>
        </w:rPr>
        <w:t>s. Of the</w:t>
      </w:r>
      <w:r w:rsidR="001725C4" w:rsidRPr="00F314C1">
        <w:rPr>
          <w:rFonts w:asciiTheme="minorHAnsi" w:hAnsiTheme="minorHAnsi"/>
          <w:sz w:val="24"/>
          <w:szCs w:val="24"/>
        </w:rPr>
        <w:t xml:space="preserve"> eight studies, four report</w:t>
      </w:r>
      <w:r w:rsidRPr="00F314C1">
        <w:rPr>
          <w:rFonts w:asciiTheme="minorHAnsi" w:hAnsiTheme="minorHAnsi"/>
          <w:sz w:val="24"/>
          <w:szCs w:val="24"/>
        </w:rPr>
        <w:t xml:space="preserve"> FCR findings in g/day including</w:t>
      </w:r>
      <w:r w:rsidR="00E61726" w:rsidRPr="00F314C1">
        <w:rPr>
          <w:rFonts w:asciiTheme="minorHAnsi" w:hAnsiTheme="minorHAnsi"/>
          <w:sz w:val="24"/>
          <w:szCs w:val="24"/>
        </w:rPr>
        <w:t>:</w:t>
      </w:r>
    </w:p>
    <w:p w14:paraId="4C01D2D8" w14:textId="46D6093D" w:rsidR="00D52BDB" w:rsidRPr="00F314C1" w:rsidRDefault="00D52BDB" w:rsidP="00C379D4">
      <w:pPr>
        <w:pStyle w:val="ListParagraph"/>
        <w:numPr>
          <w:ilvl w:val="0"/>
          <w:numId w:val="9"/>
        </w:numPr>
        <w:jc w:val="both"/>
        <w:rPr>
          <w:rFonts w:asciiTheme="minorHAnsi" w:hAnsiTheme="minorHAnsi"/>
          <w:sz w:val="24"/>
          <w:szCs w:val="24"/>
        </w:rPr>
      </w:pPr>
      <w:r w:rsidRPr="00F314C1">
        <w:rPr>
          <w:rFonts w:asciiTheme="minorHAnsi" w:hAnsiTheme="minorHAnsi"/>
          <w:sz w:val="24"/>
          <w:szCs w:val="24"/>
        </w:rPr>
        <w:t>Two surveys conducted in the Cook Inlet Region</w:t>
      </w:r>
      <w:r w:rsidR="00650AE8" w:rsidRPr="00F314C1">
        <w:rPr>
          <w:rFonts w:asciiTheme="minorHAnsi" w:hAnsiTheme="minorHAnsi"/>
          <w:sz w:val="24"/>
          <w:szCs w:val="24"/>
        </w:rPr>
        <w:t>,</w:t>
      </w:r>
    </w:p>
    <w:p w14:paraId="4FD732CD" w14:textId="1C2D4EFD" w:rsidR="00D52BDB" w:rsidRPr="00F314C1" w:rsidRDefault="00E61726" w:rsidP="00C379D4">
      <w:pPr>
        <w:pStyle w:val="ListParagraph"/>
        <w:numPr>
          <w:ilvl w:val="0"/>
          <w:numId w:val="9"/>
        </w:numPr>
        <w:jc w:val="both"/>
        <w:rPr>
          <w:rFonts w:asciiTheme="minorHAnsi" w:hAnsiTheme="minorHAnsi"/>
          <w:sz w:val="24"/>
          <w:szCs w:val="24"/>
        </w:rPr>
      </w:pPr>
      <w:r w:rsidRPr="00F314C1">
        <w:rPr>
          <w:rFonts w:asciiTheme="minorHAnsi" w:hAnsiTheme="minorHAnsi"/>
          <w:sz w:val="24"/>
          <w:szCs w:val="24"/>
        </w:rPr>
        <w:t>O</w:t>
      </w:r>
      <w:r w:rsidR="00D52BDB" w:rsidRPr="00F314C1">
        <w:rPr>
          <w:rFonts w:asciiTheme="minorHAnsi" w:hAnsiTheme="minorHAnsi"/>
          <w:sz w:val="24"/>
          <w:szCs w:val="24"/>
        </w:rPr>
        <w:t xml:space="preserve">ne study </w:t>
      </w:r>
      <w:r w:rsidR="00ED62D2" w:rsidRPr="00F314C1">
        <w:rPr>
          <w:rFonts w:asciiTheme="minorHAnsi" w:hAnsiTheme="minorHAnsi"/>
          <w:sz w:val="24"/>
          <w:szCs w:val="24"/>
        </w:rPr>
        <w:t xml:space="preserve">conducted </w:t>
      </w:r>
      <w:r w:rsidR="00D52BDB" w:rsidRPr="00F314C1">
        <w:rPr>
          <w:rFonts w:asciiTheme="minorHAnsi" w:hAnsiTheme="minorHAnsi"/>
          <w:sz w:val="24"/>
          <w:szCs w:val="24"/>
        </w:rPr>
        <w:t>in the Aleutian Region (which used secondary data to create a composite regional FCR) and</w:t>
      </w:r>
      <w:r w:rsidR="00650AE8" w:rsidRPr="00F314C1">
        <w:rPr>
          <w:rFonts w:asciiTheme="minorHAnsi" w:hAnsiTheme="minorHAnsi"/>
          <w:sz w:val="24"/>
          <w:szCs w:val="24"/>
        </w:rPr>
        <w:t>,</w:t>
      </w:r>
    </w:p>
    <w:p w14:paraId="40972626" w14:textId="18CDB093" w:rsidR="00D52BDB" w:rsidRPr="00F314C1" w:rsidRDefault="00E61726" w:rsidP="00C379D4">
      <w:pPr>
        <w:pStyle w:val="ListParagraph"/>
        <w:numPr>
          <w:ilvl w:val="0"/>
          <w:numId w:val="9"/>
        </w:numPr>
        <w:jc w:val="both"/>
        <w:rPr>
          <w:rFonts w:asciiTheme="minorHAnsi" w:hAnsiTheme="minorHAnsi"/>
          <w:sz w:val="24"/>
          <w:szCs w:val="24"/>
        </w:rPr>
      </w:pPr>
      <w:r w:rsidRPr="00F314C1">
        <w:rPr>
          <w:rFonts w:asciiTheme="minorHAnsi" w:hAnsiTheme="minorHAnsi"/>
          <w:sz w:val="24"/>
          <w:szCs w:val="24"/>
        </w:rPr>
        <w:t>O</w:t>
      </w:r>
      <w:r w:rsidR="00D52BDB" w:rsidRPr="00F314C1">
        <w:rPr>
          <w:rFonts w:asciiTheme="minorHAnsi" w:hAnsiTheme="minorHAnsi"/>
          <w:sz w:val="24"/>
          <w:szCs w:val="24"/>
        </w:rPr>
        <w:t>ne survey with sampled population from throughout Alaska</w:t>
      </w:r>
      <w:r w:rsidR="00B04966" w:rsidRPr="00F314C1">
        <w:rPr>
          <w:rFonts w:asciiTheme="minorHAnsi" w:hAnsiTheme="minorHAnsi"/>
          <w:sz w:val="24"/>
          <w:szCs w:val="24"/>
        </w:rPr>
        <w:t>.</w:t>
      </w:r>
    </w:p>
    <w:p w14:paraId="177F69A5" w14:textId="4728060A" w:rsidR="00E61726" w:rsidRPr="00F314C1" w:rsidRDefault="001725C4" w:rsidP="00C379D4">
      <w:pPr>
        <w:jc w:val="both"/>
        <w:rPr>
          <w:rFonts w:asciiTheme="minorHAnsi" w:hAnsiTheme="minorHAnsi"/>
          <w:sz w:val="24"/>
          <w:szCs w:val="24"/>
        </w:rPr>
      </w:pPr>
      <w:r w:rsidRPr="00F314C1">
        <w:rPr>
          <w:rFonts w:asciiTheme="minorHAnsi" w:hAnsiTheme="minorHAnsi"/>
          <w:sz w:val="24"/>
          <w:szCs w:val="24"/>
        </w:rPr>
        <w:t xml:space="preserve">The following are potential </w:t>
      </w:r>
      <w:r w:rsidR="002D3F29" w:rsidRPr="00F314C1">
        <w:rPr>
          <w:rFonts w:asciiTheme="minorHAnsi" w:hAnsiTheme="minorHAnsi"/>
          <w:sz w:val="24"/>
          <w:szCs w:val="24"/>
        </w:rPr>
        <w:t xml:space="preserve">limitations </w:t>
      </w:r>
      <w:r w:rsidR="00E61726" w:rsidRPr="00F314C1">
        <w:rPr>
          <w:rFonts w:asciiTheme="minorHAnsi" w:hAnsiTheme="minorHAnsi"/>
          <w:sz w:val="24"/>
          <w:szCs w:val="24"/>
        </w:rPr>
        <w:t xml:space="preserve">of </w:t>
      </w:r>
      <w:r w:rsidR="002D3F29" w:rsidRPr="00F314C1">
        <w:rPr>
          <w:rFonts w:asciiTheme="minorHAnsi" w:hAnsiTheme="minorHAnsi"/>
          <w:sz w:val="24"/>
          <w:szCs w:val="24"/>
        </w:rPr>
        <w:t>the studies</w:t>
      </w:r>
      <w:r w:rsidR="00E61726" w:rsidRPr="00F314C1">
        <w:rPr>
          <w:rFonts w:asciiTheme="minorHAnsi" w:hAnsiTheme="minorHAnsi"/>
          <w:sz w:val="24"/>
          <w:szCs w:val="24"/>
        </w:rPr>
        <w:t xml:space="preserve"> for use in develop</w:t>
      </w:r>
      <w:r w:rsidRPr="00F314C1">
        <w:rPr>
          <w:rFonts w:asciiTheme="minorHAnsi" w:hAnsiTheme="minorHAnsi"/>
          <w:sz w:val="24"/>
          <w:szCs w:val="24"/>
        </w:rPr>
        <w:t>ing</w:t>
      </w:r>
      <w:r w:rsidR="00E61726" w:rsidRPr="00F314C1">
        <w:rPr>
          <w:rFonts w:asciiTheme="minorHAnsi" w:hAnsiTheme="minorHAnsi"/>
          <w:sz w:val="24"/>
          <w:szCs w:val="24"/>
        </w:rPr>
        <w:t xml:space="preserve"> a methodology for calculating </w:t>
      </w:r>
      <w:r w:rsidR="007F6D08" w:rsidRPr="00F314C1">
        <w:rPr>
          <w:rFonts w:asciiTheme="minorHAnsi" w:hAnsiTheme="minorHAnsi"/>
          <w:sz w:val="24"/>
          <w:szCs w:val="24"/>
        </w:rPr>
        <w:t>FCR</w:t>
      </w:r>
      <w:r w:rsidR="00E61726" w:rsidRPr="00F314C1">
        <w:rPr>
          <w:rFonts w:asciiTheme="minorHAnsi" w:hAnsiTheme="minorHAnsi"/>
          <w:sz w:val="24"/>
          <w:szCs w:val="24"/>
        </w:rPr>
        <w:t>s for Alaska:</w:t>
      </w:r>
    </w:p>
    <w:p w14:paraId="06E4E957" w14:textId="657C7869" w:rsidR="00E61726" w:rsidRPr="00F314C1" w:rsidRDefault="00E61726" w:rsidP="00C379D4">
      <w:pPr>
        <w:pStyle w:val="ListParagraph"/>
        <w:numPr>
          <w:ilvl w:val="0"/>
          <w:numId w:val="11"/>
        </w:numPr>
        <w:jc w:val="both"/>
        <w:rPr>
          <w:rFonts w:asciiTheme="minorHAnsi" w:hAnsiTheme="minorHAnsi"/>
          <w:sz w:val="24"/>
          <w:szCs w:val="24"/>
        </w:rPr>
      </w:pPr>
      <w:r w:rsidRPr="00F314C1">
        <w:rPr>
          <w:rFonts w:asciiTheme="minorHAnsi" w:hAnsiTheme="minorHAnsi"/>
          <w:sz w:val="24"/>
          <w:szCs w:val="24"/>
        </w:rPr>
        <w:t>S</w:t>
      </w:r>
      <w:r w:rsidR="009B2ED7" w:rsidRPr="00F314C1">
        <w:rPr>
          <w:rFonts w:asciiTheme="minorHAnsi" w:hAnsiTheme="minorHAnsi"/>
          <w:sz w:val="24"/>
          <w:szCs w:val="24"/>
        </w:rPr>
        <w:t>mall sample sizes</w:t>
      </w:r>
      <w:r w:rsidR="001725C4" w:rsidRPr="00F314C1">
        <w:rPr>
          <w:rFonts w:asciiTheme="minorHAnsi" w:hAnsiTheme="minorHAnsi"/>
          <w:sz w:val="24"/>
          <w:szCs w:val="24"/>
        </w:rPr>
        <w:t>;</w:t>
      </w:r>
    </w:p>
    <w:p w14:paraId="123ACCBE" w14:textId="59427035" w:rsidR="00E61726" w:rsidRPr="00F314C1" w:rsidRDefault="00E61726" w:rsidP="00C379D4">
      <w:pPr>
        <w:pStyle w:val="ListParagraph"/>
        <w:numPr>
          <w:ilvl w:val="0"/>
          <w:numId w:val="11"/>
        </w:numPr>
        <w:jc w:val="both"/>
        <w:rPr>
          <w:rFonts w:asciiTheme="minorHAnsi" w:hAnsiTheme="minorHAnsi"/>
          <w:sz w:val="24"/>
          <w:szCs w:val="24"/>
        </w:rPr>
      </w:pPr>
      <w:r w:rsidRPr="00F314C1">
        <w:rPr>
          <w:rFonts w:asciiTheme="minorHAnsi" w:hAnsiTheme="minorHAnsi"/>
          <w:sz w:val="24"/>
          <w:szCs w:val="24"/>
        </w:rPr>
        <w:t>L</w:t>
      </w:r>
      <w:r w:rsidR="00B04966" w:rsidRPr="00F314C1">
        <w:rPr>
          <w:rFonts w:asciiTheme="minorHAnsi" w:hAnsiTheme="minorHAnsi"/>
          <w:sz w:val="24"/>
          <w:szCs w:val="24"/>
        </w:rPr>
        <w:t>ocalized study populations</w:t>
      </w:r>
      <w:r w:rsidR="001725C4" w:rsidRPr="00F314C1">
        <w:rPr>
          <w:rFonts w:asciiTheme="minorHAnsi" w:hAnsiTheme="minorHAnsi"/>
          <w:sz w:val="24"/>
          <w:szCs w:val="24"/>
        </w:rPr>
        <w:t>;</w:t>
      </w:r>
    </w:p>
    <w:p w14:paraId="41EB89B1" w14:textId="77777777" w:rsidR="00E61726" w:rsidRPr="00F314C1" w:rsidRDefault="00E61726" w:rsidP="00C379D4">
      <w:pPr>
        <w:pStyle w:val="ListParagraph"/>
        <w:numPr>
          <w:ilvl w:val="0"/>
          <w:numId w:val="11"/>
        </w:numPr>
        <w:jc w:val="both"/>
        <w:rPr>
          <w:rFonts w:asciiTheme="minorHAnsi" w:hAnsiTheme="minorHAnsi"/>
          <w:sz w:val="24"/>
          <w:szCs w:val="24"/>
        </w:rPr>
      </w:pPr>
      <w:r w:rsidRPr="00F314C1">
        <w:rPr>
          <w:rFonts w:asciiTheme="minorHAnsi" w:hAnsiTheme="minorHAnsi"/>
          <w:sz w:val="24"/>
          <w:szCs w:val="24"/>
        </w:rPr>
        <w:t>P</w:t>
      </w:r>
      <w:r w:rsidR="00ED62D2" w:rsidRPr="00F314C1">
        <w:rPr>
          <w:rFonts w:asciiTheme="minorHAnsi" w:hAnsiTheme="minorHAnsi"/>
          <w:sz w:val="24"/>
          <w:szCs w:val="24"/>
        </w:rPr>
        <w:t xml:space="preserve">otential </w:t>
      </w:r>
      <w:r w:rsidR="009B2ED7" w:rsidRPr="00F314C1">
        <w:rPr>
          <w:rFonts w:asciiTheme="minorHAnsi" w:hAnsiTheme="minorHAnsi"/>
          <w:sz w:val="24"/>
          <w:szCs w:val="24"/>
        </w:rPr>
        <w:t>differences in the way the surveys were administered</w:t>
      </w:r>
      <w:r w:rsidRPr="00F314C1">
        <w:rPr>
          <w:rFonts w:asciiTheme="minorHAnsi" w:hAnsiTheme="minorHAnsi"/>
          <w:sz w:val="24"/>
          <w:szCs w:val="24"/>
        </w:rPr>
        <w:t xml:space="preserve">; </w:t>
      </w:r>
      <w:r w:rsidR="00497655" w:rsidRPr="00F314C1">
        <w:rPr>
          <w:rFonts w:asciiTheme="minorHAnsi" w:hAnsiTheme="minorHAnsi"/>
          <w:sz w:val="24"/>
          <w:szCs w:val="24"/>
        </w:rPr>
        <w:t>and</w:t>
      </w:r>
    </w:p>
    <w:p w14:paraId="134DD8EB" w14:textId="113C13FC" w:rsidR="00B04966" w:rsidRPr="00F314C1" w:rsidRDefault="00E61726" w:rsidP="00C379D4">
      <w:pPr>
        <w:pStyle w:val="ListParagraph"/>
        <w:numPr>
          <w:ilvl w:val="0"/>
          <w:numId w:val="11"/>
        </w:numPr>
        <w:jc w:val="both"/>
        <w:rPr>
          <w:rFonts w:asciiTheme="minorHAnsi" w:hAnsiTheme="minorHAnsi"/>
          <w:sz w:val="24"/>
          <w:szCs w:val="24"/>
        </w:rPr>
      </w:pPr>
      <w:r w:rsidRPr="00F314C1">
        <w:rPr>
          <w:rFonts w:asciiTheme="minorHAnsi" w:hAnsiTheme="minorHAnsi"/>
          <w:sz w:val="24"/>
          <w:szCs w:val="24"/>
        </w:rPr>
        <w:t>V</w:t>
      </w:r>
      <w:r w:rsidR="00B04966" w:rsidRPr="00F314C1">
        <w:rPr>
          <w:rFonts w:asciiTheme="minorHAnsi" w:hAnsiTheme="minorHAnsi"/>
          <w:sz w:val="24"/>
          <w:szCs w:val="24"/>
        </w:rPr>
        <w:t xml:space="preserve">arying </w:t>
      </w:r>
      <w:r w:rsidR="00AF169D" w:rsidRPr="00F314C1">
        <w:rPr>
          <w:rFonts w:asciiTheme="minorHAnsi" w:hAnsiTheme="minorHAnsi"/>
          <w:sz w:val="24"/>
          <w:szCs w:val="24"/>
        </w:rPr>
        <w:t>study</w:t>
      </w:r>
      <w:r w:rsidR="00B04966" w:rsidRPr="00F314C1">
        <w:rPr>
          <w:rFonts w:asciiTheme="minorHAnsi" w:hAnsiTheme="minorHAnsi"/>
          <w:sz w:val="24"/>
          <w:szCs w:val="24"/>
        </w:rPr>
        <w:t xml:space="preserve"> objective</w:t>
      </w:r>
      <w:r w:rsidR="00AF169D" w:rsidRPr="00F314C1">
        <w:rPr>
          <w:rFonts w:asciiTheme="minorHAnsi" w:hAnsiTheme="minorHAnsi"/>
          <w:sz w:val="24"/>
          <w:szCs w:val="24"/>
        </w:rPr>
        <w:t>s</w:t>
      </w:r>
      <w:r w:rsidRPr="00F314C1">
        <w:rPr>
          <w:rFonts w:asciiTheme="minorHAnsi" w:hAnsiTheme="minorHAnsi"/>
          <w:sz w:val="24"/>
          <w:szCs w:val="24"/>
        </w:rPr>
        <w:t xml:space="preserve">, </w:t>
      </w:r>
      <w:r w:rsidR="00ED62D2" w:rsidRPr="00F314C1">
        <w:rPr>
          <w:rFonts w:asciiTheme="minorHAnsi" w:hAnsiTheme="minorHAnsi"/>
          <w:sz w:val="24"/>
          <w:szCs w:val="24"/>
        </w:rPr>
        <w:t>render</w:t>
      </w:r>
      <w:r w:rsidRPr="00F314C1">
        <w:rPr>
          <w:rFonts w:asciiTheme="minorHAnsi" w:hAnsiTheme="minorHAnsi"/>
          <w:sz w:val="24"/>
          <w:szCs w:val="24"/>
        </w:rPr>
        <w:t>ing</w:t>
      </w:r>
      <w:r w:rsidR="00B04966" w:rsidRPr="00F314C1">
        <w:rPr>
          <w:rFonts w:asciiTheme="minorHAnsi" w:hAnsiTheme="minorHAnsi"/>
          <w:sz w:val="24"/>
          <w:szCs w:val="24"/>
        </w:rPr>
        <w:t xml:space="preserve"> it </w:t>
      </w:r>
      <w:r w:rsidR="00ED62D2" w:rsidRPr="00F314C1">
        <w:rPr>
          <w:rFonts w:asciiTheme="minorHAnsi" w:hAnsiTheme="minorHAnsi"/>
          <w:sz w:val="24"/>
          <w:szCs w:val="24"/>
        </w:rPr>
        <w:t>impossible</w:t>
      </w:r>
      <w:r w:rsidR="00B04966" w:rsidRPr="00F314C1">
        <w:rPr>
          <w:rFonts w:asciiTheme="minorHAnsi" w:hAnsiTheme="minorHAnsi"/>
          <w:sz w:val="24"/>
          <w:szCs w:val="24"/>
        </w:rPr>
        <w:t xml:space="preserve"> to identify any </w:t>
      </w:r>
      <w:r w:rsidR="00ED62D2" w:rsidRPr="00F314C1">
        <w:rPr>
          <w:rFonts w:asciiTheme="minorHAnsi" w:hAnsiTheme="minorHAnsi"/>
          <w:sz w:val="24"/>
          <w:szCs w:val="24"/>
        </w:rPr>
        <w:t xml:space="preserve">single </w:t>
      </w:r>
      <w:r w:rsidR="00B04966" w:rsidRPr="00F314C1">
        <w:rPr>
          <w:rFonts w:asciiTheme="minorHAnsi" w:hAnsiTheme="minorHAnsi"/>
          <w:sz w:val="24"/>
          <w:szCs w:val="24"/>
        </w:rPr>
        <w:t xml:space="preserve">data source </w:t>
      </w:r>
      <w:r w:rsidRPr="00F314C1">
        <w:rPr>
          <w:rFonts w:asciiTheme="minorHAnsi" w:hAnsiTheme="minorHAnsi"/>
          <w:sz w:val="24"/>
          <w:szCs w:val="24"/>
        </w:rPr>
        <w:t>that</w:t>
      </w:r>
      <w:r w:rsidR="00B04966" w:rsidRPr="00F314C1">
        <w:rPr>
          <w:rFonts w:asciiTheme="minorHAnsi" w:hAnsiTheme="minorHAnsi"/>
          <w:sz w:val="24"/>
          <w:szCs w:val="24"/>
        </w:rPr>
        <w:t xml:space="preserve"> meets all the required criteria to adequately determine </w:t>
      </w:r>
      <w:r w:rsidR="00AF169D" w:rsidRPr="00F314C1">
        <w:rPr>
          <w:rFonts w:asciiTheme="minorHAnsi" w:hAnsiTheme="minorHAnsi"/>
          <w:sz w:val="24"/>
          <w:szCs w:val="24"/>
        </w:rPr>
        <w:t xml:space="preserve">an FCR appropriate for use in deriving Alaska </w:t>
      </w:r>
      <w:r w:rsidR="00D31726">
        <w:rPr>
          <w:rFonts w:asciiTheme="minorHAnsi" w:hAnsiTheme="minorHAnsi"/>
          <w:sz w:val="24"/>
          <w:szCs w:val="24"/>
        </w:rPr>
        <w:t>HHC</w:t>
      </w:r>
      <w:r w:rsidR="00AF169D" w:rsidRPr="00F314C1">
        <w:rPr>
          <w:rFonts w:asciiTheme="minorHAnsi" w:hAnsiTheme="minorHAnsi"/>
          <w:sz w:val="24"/>
          <w:szCs w:val="24"/>
        </w:rPr>
        <w:t>, especially at a state-wide level.</w:t>
      </w:r>
      <w:r w:rsidR="009B2ED7" w:rsidRPr="00F314C1">
        <w:rPr>
          <w:rFonts w:asciiTheme="minorHAnsi" w:hAnsiTheme="minorHAnsi"/>
          <w:sz w:val="24"/>
          <w:szCs w:val="24"/>
        </w:rPr>
        <w:t xml:space="preserve"> </w:t>
      </w:r>
    </w:p>
    <w:p w14:paraId="3EECD928" w14:textId="578BB2F9" w:rsidR="00950623" w:rsidRPr="00F314C1" w:rsidRDefault="001725C4" w:rsidP="00C379D4">
      <w:pPr>
        <w:jc w:val="both"/>
        <w:rPr>
          <w:rFonts w:asciiTheme="minorHAnsi" w:hAnsiTheme="minorHAnsi"/>
          <w:sz w:val="24"/>
          <w:szCs w:val="24"/>
        </w:rPr>
      </w:pPr>
      <w:r w:rsidRPr="00F314C1">
        <w:rPr>
          <w:rFonts w:asciiTheme="minorHAnsi" w:hAnsiTheme="minorHAnsi"/>
          <w:sz w:val="24"/>
          <w:szCs w:val="24"/>
        </w:rPr>
        <w:lastRenderedPageBreak/>
        <w:t>F</w:t>
      </w:r>
      <w:r w:rsidR="00950623" w:rsidRPr="00F314C1">
        <w:rPr>
          <w:rFonts w:asciiTheme="minorHAnsi" w:hAnsiTheme="minorHAnsi"/>
          <w:sz w:val="24"/>
          <w:szCs w:val="24"/>
        </w:rPr>
        <w:t>uture surveys conducted in support of efforts to calculate FCRs should be designed specifically to avoid these types of limitations.</w:t>
      </w:r>
    </w:p>
    <w:p w14:paraId="34AE598B" w14:textId="223A6034" w:rsidR="00950623" w:rsidRPr="00F314C1" w:rsidRDefault="00950623" w:rsidP="00C379D4">
      <w:pPr>
        <w:pStyle w:val="Heading1"/>
        <w:jc w:val="both"/>
        <w:rPr>
          <w:sz w:val="24"/>
          <w:szCs w:val="24"/>
        </w:rPr>
      </w:pPr>
      <w:bookmarkStart w:id="59" w:name="_Toc391035979"/>
      <w:r w:rsidRPr="00F314C1">
        <w:rPr>
          <w:sz w:val="24"/>
          <w:szCs w:val="24"/>
        </w:rPr>
        <w:t>Data Gaps</w:t>
      </w:r>
      <w:bookmarkEnd w:id="59"/>
    </w:p>
    <w:p w14:paraId="6498806F" w14:textId="576D4EED" w:rsidR="00497655" w:rsidRPr="00F314C1" w:rsidRDefault="00E478CF" w:rsidP="00C379D4">
      <w:pPr>
        <w:jc w:val="both"/>
        <w:rPr>
          <w:rFonts w:eastAsiaTheme="majorEastAsia" w:cstheme="majorBidi"/>
          <w:bCs/>
          <w:color w:val="0F243E" w:themeColor="text2" w:themeShade="80"/>
          <w:sz w:val="24"/>
          <w:szCs w:val="24"/>
          <w:u w:val="single"/>
        </w:rPr>
      </w:pPr>
      <w:r w:rsidRPr="00F314C1">
        <w:rPr>
          <w:rFonts w:asciiTheme="minorHAnsi" w:hAnsiTheme="minorHAnsi"/>
          <w:sz w:val="24"/>
          <w:szCs w:val="24"/>
        </w:rPr>
        <w:t>Several data gaps and are discussed bel</w:t>
      </w:r>
      <w:r w:rsidR="00E363F2" w:rsidRPr="00F314C1">
        <w:rPr>
          <w:rFonts w:asciiTheme="minorHAnsi" w:hAnsiTheme="minorHAnsi"/>
          <w:sz w:val="24"/>
          <w:szCs w:val="24"/>
        </w:rPr>
        <w:t>ow</w:t>
      </w:r>
      <w:r w:rsidRPr="00F314C1">
        <w:rPr>
          <w:rFonts w:asciiTheme="minorHAnsi" w:hAnsiTheme="minorHAnsi"/>
          <w:sz w:val="24"/>
          <w:szCs w:val="24"/>
        </w:rPr>
        <w:t xml:space="preserve">. </w:t>
      </w:r>
    </w:p>
    <w:p w14:paraId="64988071" w14:textId="77777777" w:rsidR="00650668" w:rsidRPr="00F314C1" w:rsidRDefault="00650668" w:rsidP="00C379D4">
      <w:pPr>
        <w:pStyle w:val="Heading4"/>
        <w:jc w:val="both"/>
        <w:rPr>
          <w:sz w:val="24"/>
          <w:szCs w:val="24"/>
        </w:rPr>
      </w:pPr>
      <w:r w:rsidRPr="00F314C1">
        <w:rPr>
          <w:sz w:val="24"/>
          <w:szCs w:val="24"/>
        </w:rPr>
        <w:t>Populations Assessed</w:t>
      </w:r>
    </w:p>
    <w:p w14:paraId="64988072" w14:textId="4DC6E314" w:rsidR="00650668" w:rsidRPr="00F314C1" w:rsidRDefault="00DB7674" w:rsidP="00C379D4">
      <w:pPr>
        <w:jc w:val="both"/>
        <w:rPr>
          <w:rFonts w:asciiTheme="minorHAnsi" w:hAnsiTheme="minorHAnsi"/>
          <w:sz w:val="24"/>
          <w:szCs w:val="24"/>
        </w:rPr>
      </w:pPr>
      <w:r w:rsidRPr="00F314C1">
        <w:rPr>
          <w:rFonts w:asciiTheme="minorHAnsi" w:hAnsiTheme="minorHAnsi"/>
          <w:sz w:val="24"/>
          <w:szCs w:val="24"/>
        </w:rPr>
        <w:t>Data from ADF</w:t>
      </w:r>
      <w:r w:rsidR="00497655" w:rsidRPr="00F314C1">
        <w:rPr>
          <w:rFonts w:asciiTheme="minorHAnsi" w:hAnsiTheme="minorHAnsi"/>
          <w:sz w:val="24"/>
          <w:szCs w:val="24"/>
        </w:rPr>
        <w:t>&amp;</w:t>
      </w:r>
      <w:r w:rsidRPr="00F314C1">
        <w:rPr>
          <w:rFonts w:asciiTheme="minorHAnsi" w:hAnsiTheme="minorHAnsi"/>
          <w:sz w:val="24"/>
          <w:szCs w:val="24"/>
        </w:rPr>
        <w:t xml:space="preserve">G demonstrate that individuals living in rural areas of </w:t>
      </w:r>
      <w:r w:rsidR="001A39FB" w:rsidRPr="00F314C1">
        <w:rPr>
          <w:rFonts w:asciiTheme="minorHAnsi" w:hAnsiTheme="minorHAnsi"/>
          <w:sz w:val="24"/>
          <w:szCs w:val="24"/>
        </w:rPr>
        <w:t>Alaska</w:t>
      </w:r>
      <w:r w:rsidRPr="00F314C1">
        <w:rPr>
          <w:rFonts w:asciiTheme="minorHAnsi" w:hAnsiTheme="minorHAnsi"/>
          <w:sz w:val="24"/>
          <w:szCs w:val="24"/>
        </w:rPr>
        <w:t xml:space="preserve"> are more likely to rely on subsistence </w:t>
      </w:r>
      <w:r w:rsidR="006E4D0D" w:rsidRPr="00F314C1">
        <w:rPr>
          <w:rFonts w:asciiTheme="minorHAnsi" w:hAnsiTheme="minorHAnsi"/>
          <w:sz w:val="24"/>
          <w:szCs w:val="24"/>
        </w:rPr>
        <w:t xml:space="preserve">fishing </w:t>
      </w:r>
      <w:r w:rsidRPr="00F314C1">
        <w:rPr>
          <w:rFonts w:asciiTheme="minorHAnsi" w:hAnsiTheme="minorHAnsi"/>
          <w:sz w:val="24"/>
          <w:szCs w:val="24"/>
        </w:rPr>
        <w:t xml:space="preserve">and have higher </w:t>
      </w:r>
      <w:r w:rsidR="00D9013B" w:rsidRPr="00F314C1">
        <w:rPr>
          <w:rFonts w:asciiTheme="minorHAnsi" w:hAnsiTheme="minorHAnsi"/>
          <w:sz w:val="24"/>
          <w:szCs w:val="24"/>
        </w:rPr>
        <w:t>FCRs</w:t>
      </w:r>
      <w:r w:rsidRPr="00F314C1">
        <w:rPr>
          <w:rFonts w:asciiTheme="minorHAnsi" w:hAnsiTheme="minorHAnsi"/>
          <w:sz w:val="24"/>
          <w:szCs w:val="24"/>
        </w:rPr>
        <w:t xml:space="preserve"> (ADF</w:t>
      </w:r>
      <w:r w:rsidR="00497655" w:rsidRPr="00F314C1">
        <w:rPr>
          <w:rFonts w:asciiTheme="minorHAnsi" w:hAnsiTheme="minorHAnsi"/>
          <w:sz w:val="24"/>
          <w:szCs w:val="24"/>
        </w:rPr>
        <w:t>&amp;</w:t>
      </w:r>
      <w:r w:rsidRPr="00F314C1">
        <w:rPr>
          <w:rFonts w:asciiTheme="minorHAnsi" w:hAnsiTheme="minorHAnsi"/>
          <w:sz w:val="24"/>
          <w:szCs w:val="24"/>
        </w:rPr>
        <w:t xml:space="preserve">G, 2014). </w:t>
      </w:r>
      <w:r w:rsidR="00E478CF" w:rsidRPr="00F314C1">
        <w:rPr>
          <w:rFonts w:asciiTheme="minorHAnsi" w:hAnsiTheme="minorHAnsi"/>
          <w:sz w:val="24"/>
          <w:szCs w:val="24"/>
        </w:rPr>
        <w:t>T</w:t>
      </w:r>
      <w:r w:rsidRPr="00F314C1">
        <w:rPr>
          <w:rFonts w:asciiTheme="minorHAnsi" w:hAnsiTheme="minorHAnsi"/>
          <w:sz w:val="24"/>
          <w:szCs w:val="24"/>
        </w:rPr>
        <w:t>hese populations</w:t>
      </w:r>
      <w:r w:rsidR="00E478CF" w:rsidRPr="00F314C1">
        <w:rPr>
          <w:rFonts w:asciiTheme="minorHAnsi" w:hAnsiTheme="minorHAnsi"/>
          <w:sz w:val="24"/>
          <w:szCs w:val="24"/>
        </w:rPr>
        <w:t xml:space="preserve"> </w:t>
      </w:r>
      <w:r w:rsidR="00265A9F">
        <w:rPr>
          <w:rFonts w:asciiTheme="minorHAnsi" w:hAnsiTheme="minorHAnsi"/>
          <w:sz w:val="24"/>
          <w:szCs w:val="24"/>
        </w:rPr>
        <w:t>c</w:t>
      </w:r>
      <w:r w:rsidR="00E478CF" w:rsidRPr="00F314C1">
        <w:rPr>
          <w:rFonts w:asciiTheme="minorHAnsi" w:hAnsiTheme="minorHAnsi"/>
          <w:sz w:val="24"/>
          <w:szCs w:val="24"/>
        </w:rPr>
        <w:t>ould be prioritized</w:t>
      </w:r>
      <w:r w:rsidRPr="00F314C1">
        <w:rPr>
          <w:rFonts w:asciiTheme="minorHAnsi" w:hAnsiTheme="minorHAnsi"/>
          <w:sz w:val="24"/>
          <w:szCs w:val="24"/>
        </w:rPr>
        <w:t xml:space="preserve"> for </w:t>
      </w:r>
      <w:r w:rsidR="00E478CF" w:rsidRPr="00F314C1">
        <w:rPr>
          <w:rFonts w:asciiTheme="minorHAnsi" w:hAnsiTheme="minorHAnsi"/>
          <w:sz w:val="24"/>
          <w:szCs w:val="24"/>
        </w:rPr>
        <w:t xml:space="preserve">any potential additional research on </w:t>
      </w:r>
      <w:r w:rsidRPr="00F314C1">
        <w:rPr>
          <w:rFonts w:asciiTheme="minorHAnsi" w:hAnsiTheme="minorHAnsi"/>
          <w:sz w:val="24"/>
          <w:szCs w:val="24"/>
        </w:rPr>
        <w:t>fish consumption</w:t>
      </w:r>
      <w:r w:rsidR="007D7FAC" w:rsidRPr="00F314C1">
        <w:rPr>
          <w:rFonts w:asciiTheme="minorHAnsi" w:hAnsiTheme="minorHAnsi"/>
          <w:sz w:val="24"/>
          <w:szCs w:val="24"/>
        </w:rPr>
        <w:t>,</w:t>
      </w:r>
      <w:r w:rsidRPr="00F314C1">
        <w:rPr>
          <w:rFonts w:asciiTheme="minorHAnsi" w:hAnsiTheme="minorHAnsi"/>
          <w:sz w:val="24"/>
          <w:szCs w:val="24"/>
        </w:rPr>
        <w:t xml:space="preserve"> as they likely represent maximum </w:t>
      </w:r>
      <w:r w:rsidR="007F6D08" w:rsidRPr="00F314C1">
        <w:rPr>
          <w:rFonts w:asciiTheme="minorHAnsi" w:hAnsiTheme="minorHAnsi"/>
          <w:sz w:val="24"/>
          <w:szCs w:val="24"/>
        </w:rPr>
        <w:t>FCR</w:t>
      </w:r>
      <w:r w:rsidRPr="00F314C1">
        <w:rPr>
          <w:rFonts w:asciiTheme="minorHAnsi" w:hAnsiTheme="minorHAnsi"/>
          <w:sz w:val="24"/>
          <w:szCs w:val="24"/>
        </w:rPr>
        <w:t>s in Alaska</w:t>
      </w:r>
      <w:r w:rsidR="002B49D1" w:rsidRPr="00F314C1">
        <w:rPr>
          <w:rFonts w:asciiTheme="minorHAnsi" w:hAnsiTheme="minorHAnsi"/>
          <w:sz w:val="24"/>
          <w:szCs w:val="24"/>
        </w:rPr>
        <w:t xml:space="preserve">; and a potential </w:t>
      </w:r>
      <w:r w:rsidRPr="00F314C1">
        <w:rPr>
          <w:rFonts w:asciiTheme="minorHAnsi" w:hAnsiTheme="minorHAnsi"/>
          <w:sz w:val="24"/>
          <w:szCs w:val="24"/>
        </w:rPr>
        <w:t>single statewide consumption rate</w:t>
      </w:r>
      <w:r w:rsidR="002B49D1" w:rsidRPr="00F314C1">
        <w:rPr>
          <w:rFonts w:asciiTheme="minorHAnsi" w:hAnsiTheme="minorHAnsi"/>
          <w:sz w:val="24"/>
          <w:szCs w:val="24"/>
        </w:rPr>
        <w:t xml:space="preserve"> needs to take into account these populations</w:t>
      </w:r>
      <w:r w:rsidRPr="00F314C1">
        <w:rPr>
          <w:rFonts w:asciiTheme="minorHAnsi" w:hAnsiTheme="minorHAnsi"/>
          <w:sz w:val="24"/>
          <w:szCs w:val="24"/>
        </w:rPr>
        <w:t xml:space="preserve">. </w:t>
      </w:r>
      <w:r w:rsidR="00BE63A8" w:rsidRPr="00F314C1">
        <w:rPr>
          <w:rFonts w:asciiTheme="minorHAnsi" w:hAnsiTheme="minorHAnsi"/>
          <w:sz w:val="24"/>
          <w:szCs w:val="24"/>
        </w:rPr>
        <w:t>I</w:t>
      </w:r>
      <w:r w:rsidR="00BD1B1D" w:rsidRPr="00F314C1">
        <w:rPr>
          <w:rFonts w:asciiTheme="minorHAnsi" w:hAnsiTheme="minorHAnsi"/>
          <w:sz w:val="24"/>
          <w:szCs w:val="24"/>
        </w:rPr>
        <w:t xml:space="preserve">f the </w:t>
      </w:r>
      <w:r w:rsidR="005E54C0">
        <w:rPr>
          <w:rFonts w:asciiTheme="minorHAnsi" w:hAnsiTheme="minorHAnsi"/>
          <w:sz w:val="24"/>
          <w:szCs w:val="24"/>
        </w:rPr>
        <w:t>S</w:t>
      </w:r>
      <w:r w:rsidR="00BD1B1D" w:rsidRPr="00F314C1">
        <w:rPr>
          <w:rFonts w:asciiTheme="minorHAnsi" w:hAnsiTheme="minorHAnsi"/>
          <w:sz w:val="24"/>
          <w:szCs w:val="24"/>
        </w:rPr>
        <w:t>tate</w:t>
      </w:r>
      <w:r w:rsidR="005E54C0">
        <w:rPr>
          <w:rFonts w:asciiTheme="minorHAnsi" w:hAnsiTheme="minorHAnsi"/>
          <w:sz w:val="24"/>
          <w:szCs w:val="24"/>
        </w:rPr>
        <w:t xml:space="preserve"> of Alaska</w:t>
      </w:r>
      <w:r w:rsidR="00BD1B1D" w:rsidRPr="00F314C1">
        <w:rPr>
          <w:rFonts w:asciiTheme="minorHAnsi" w:hAnsiTheme="minorHAnsi"/>
          <w:sz w:val="24"/>
          <w:szCs w:val="24"/>
        </w:rPr>
        <w:t xml:space="preserve"> determines that a regional approach is preferred</w:t>
      </w:r>
      <w:r w:rsidR="009B2ED7" w:rsidRPr="00F314C1">
        <w:rPr>
          <w:rFonts w:asciiTheme="minorHAnsi" w:hAnsiTheme="minorHAnsi"/>
          <w:sz w:val="24"/>
          <w:szCs w:val="24"/>
        </w:rPr>
        <w:t>,</w:t>
      </w:r>
      <w:r w:rsidRPr="00F314C1">
        <w:rPr>
          <w:rFonts w:asciiTheme="minorHAnsi" w:hAnsiTheme="minorHAnsi"/>
          <w:sz w:val="24"/>
          <w:szCs w:val="24"/>
        </w:rPr>
        <w:t xml:space="preserve"> additional </w:t>
      </w:r>
      <w:r w:rsidR="00AC0041" w:rsidRPr="00F314C1">
        <w:rPr>
          <w:rFonts w:asciiTheme="minorHAnsi" w:hAnsiTheme="minorHAnsi"/>
          <w:sz w:val="24"/>
          <w:szCs w:val="24"/>
        </w:rPr>
        <w:t xml:space="preserve">research </w:t>
      </w:r>
      <w:r w:rsidR="008B1BD0" w:rsidRPr="00F314C1">
        <w:rPr>
          <w:rFonts w:asciiTheme="minorHAnsi" w:hAnsiTheme="minorHAnsi"/>
          <w:sz w:val="24"/>
          <w:szCs w:val="24"/>
        </w:rPr>
        <w:t>c</w:t>
      </w:r>
      <w:r w:rsidR="00AC0041" w:rsidRPr="00F314C1">
        <w:rPr>
          <w:rFonts w:asciiTheme="minorHAnsi" w:hAnsiTheme="minorHAnsi"/>
          <w:sz w:val="24"/>
          <w:szCs w:val="24"/>
        </w:rPr>
        <w:t>ould</w:t>
      </w:r>
      <w:r w:rsidRPr="00F314C1">
        <w:rPr>
          <w:rFonts w:asciiTheme="minorHAnsi" w:hAnsiTheme="minorHAnsi"/>
          <w:sz w:val="24"/>
          <w:szCs w:val="24"/>
        </w:rPr>
        <w:t xml:space="preserve"> investigat</w:t>
      </w:r>
      <w:r w:rsidR="00D9013B" w:rsidRPr="00F314C1">
        <w:rPr>
          <w:rFonts w:asciiTheme="minorHAnsi" w:hAnsiTheme="minorHAnsi"/>
          <w:sz w:val="24"/>
          <w:szCs w:val="24"/>
        </w:rPr>
        <w:t>e</w:t>
      </w:r>
      <w:r w:rsidR="009B2ED7" w:rsidRPr="00F314C1">
        <w:rPr>
          <w:rFonts w:asciiTheme="minorHAnsi" w:hAnsiTheme="minorHAnsi"/>
          <w:sz w:val="24"/>
          <w:szCs w:val="24"/>
        </w:rPr>
        <w:t xml:space="preserve"> the</w:t>
      </w:r>
      <w:r w:rsidRPr="00F314C1">
        <w:rPr>
          <w:rFonts w:asciiTheme="minorHAnsi" w:hAnsiTheme="minorHAnsi"/>
          <w:sz w:val="24"/>
          <w:szCs w:val="24"/>
        </w:rPr>
        <w:t xml:space="preserve"> </w:t>
      </w:r>
      <w:r w:rsidR="007F6D08" w:rsidRPr="00F314C1">
        <w:rPr>
          <w:rFonts w:asciiTheme="minorHAnsi" w:hAnsiTheme="minorHAnsi"/>
          <w:sz w:val="24"/>
          <w:szCs w:val="24"/>
        </w:rPr>
        <w:t>FCR</w:t>
      </w:r>
      <w:r w:rsidRPr="00F314C1">
        <w:rPr>
          <w:rFonts w:asciiTheme="minorHAnsi" w:hAnsiTheme="minorHAnsi"/>
          <w:sz w:val="24"/>
          <w:szCs w:val="24"/>
        </w:rPr>
        <w:t xml:space="preserve">s of Alaskans who participate in </w:t>
      </w:r>
      <w:r w:rsidR="00D9013B" w:rsidRPr="00F314C1">
        <w:rPr>
          <w:rFonts w:asciiTheme="minorHAnsi" w:hAnsiTheme="minorHAnsi"/>
          <w:sz w:val="24"/>
          <w:szCs w:val="24"/>
        </w:rPr>
        <w:t xml:space="preserve">recreational </w:t>
      </w:r>
      <w:r w:rsidRPr="00F314C1">
        <w:rPr>
          <w:rFonts w:asciiTheme="minorHAnsi" w:hAnsiTheme="minorHAnsi"/>
          <w:sz w:val="24"/>
          <w:szCs w:val="24"/>
        </w:rPr>
        <w:t xml:space="preserve">fishing or consume seafood in </w:t>
      </w:r>
      <w:r w:rsidR="00D9013B" w:rsidRPr="00F314C1">
        <w:rPr>
          <w:rFonts w:asciiTheme="minorHAnsi" w:hAnsiTheme="minorHAnsi"/>
          <w:sz w:val="24"/>
          <w:szCs w:val="24"/>
        </w:rPr>
        <w:t xml:space="preserve">a </w:t>
      </w:r>
      <w:r w:rsidRPr="00F314C1">
        <w:rPr>
          <w:rFonts w:asciiTheme="minorHAnsi" w:hAnsiTheme="minorHAnsi"/>
          <w:sz w:val="24"/>
          <w:szCs w:val="24"/>
        </w:rPr>
        <w:t>manner that is not defined as subsistence</w:t>
      </w:r>
      <w:r w:rsidR="00BD1B1D" w:rsidRPr="00F314C1">
        <w:rPr>
          <w:rFonts w:asciiTheme="minorHAnsi" w:hAnsiTheme="minorHAnsi"/>
          <w:sz w:val="24"/>
          <w:szCs w:val="24"/>
        </w:rPr>
        <w:t xml:space="preserve"> so that the sample is more representative of all groups living </w:t>
      </w:r>
      <w:r w:rsidR="00265A9F">
        <w:rPr>
          <w:rFonts w:asciiTheme="minorHAnsi" w:hAnsiTheme="minorHAnsi"/>
          <w:sz w:val="24"/>
          <w:szCs w:val="24"/>
        </w:rPr>
        <w:t xml:space="preserve">or recreating </w:t>
      </w:r>
      <w:r w:rsidR="00BD1B1D" w:rsidRPr="00F314C1">
        <w:rPr>
          <w:rFonts w:asciiTheme="minorHAnsi" w:hAnsiTheme="minorHAnsi"/>
          <w:sz w:val="24"/>
          <w:szCs w:val="24"/>
        </w:rPr>
        <w:t>in that region</w:t>
      </w:r>
      <w:r w:rsidRPr="00F314C1">
        <w:rPr>
          <w:rFonts w:asciiTheme="minorHAnsi" w:hAnsiTheme="minorHAnsi"/>
          <w:sz w:val="24"/>
          <w:szCs w:val="24"/>
        </w:rPr>
        <w:t xml:space="preserve">. </w:t>
      </w:r>
      <w:r w:rsidR="00497655" w:rsidRPr="00F314C1">
        <w:rPr>
          <w:rFonts w:asciiTheme="minorHAnsi" w:hAnsiTheme="minorHAnsi"/>
          <w:sz w:val="24"/>
          <w:szCs w:val="24"/>
        </w:rPr>
        <w:t>T</w:t>
      </w:r>
      <w:r w:rsidRPr="00F314C1">
        <w:rPr>
          <w:rFonts w:asciiTheme="minorHAnsi" w:hAnsiTheme="minorHAnsi"/>
          <w:sz w:val="24"/>
          <w:szCs w:val="24"/>
        </w:rPr>
        <w:t>he results of the eight dietary surveys reviewed are</w:t>
      </w:r>
      <w:r w:rsidR="007D7FAC" w:rsidRPr="00F314C1">
        <w:rPr>
          <w:rFonts w:asciiTheme="minorHAnsi" w:hAnsiTheme="minorHAnsi"/>
          <w:sz w:val="24"/>
          <w:szCs w:val="24"/>
        </w:rPr>
        <w:t xml:space="preserve"> representative </w:t>
      </w:r>
      <w:r w:rsidR="00AC0041" w:rsidRPr="00F314C1">
        <w:rPr>
          <w:rFonts w:asciiTheme="minorHAnsi" w:hAnsiTheme="minorHAnsi"/>
          <w:sz w:val="24"/>
          <w:szCs w:val="24"/>
        </w:rPr>
        <w:t xml:space="preserve">primarily </w:t>
      </w:r>
      <w:r w:rsidR="007D7FAC" w:rsidRPr="00F314C1">
        <w:rPr>
          <w:rFonts w:asciiTheme="minorHAnsi" w:hAnsiTheme="minorHAnsi"/>
          <w:sz w:val="24"/>
          <w:szCs w:val="24"/>
        </w:rPr>
        <w:t>of Alaska N</w:t>
      </w:r>
      <w:r w:rsidRPr="00F314C1">
        <w:rPr>
          <w:rFonts w:asciiTheme="minorHAnsi" w:hAnsiTheme="minorHAnsi"/>
          <w:sz w:val="24"/>
          <w:szCs w:val="24"/>
        </w:rPr>
        <w:t>atives living in rural</w:t>
      </w:r>
      <w:r w:rsidR="00497655" w:rsidRPr="00F314C1">
        <w:rPr>
          <w:rFonts w:asciiTheme="minorHAnsi" w:hAnsiTheme="minorHAnsi"/>
          <w:sz w:val="24"/>
          <w:szCs w:val="24"/>
        </w:rPr>
        <w:t>, often co</w:t>
      </w:r>
      <w:r w:rsidR="00C801A3">
        <w:rPr>
          <w:rFonts w:asciiTheme="minorHAnsi" w:hAnsiTheme="minorHAnsi"/>
          <w:sz w:val="24"/>
          <w:szCs w:val="24"/>
        </w:rPr>
        <w:t>a</w:t>
      </w:r>
      <w:r w:rsidR="00497655" w:rsidRPr="00F314C1">
        <w:rPr>
          <w:rFonts w:asciiTheme="minorHAnsi" w:hAnsiTheme="minorHAnsi"/>
          <w:sz w:val="24"/>
          <w:szCs w:val="24"/>
        </w:rPr>
        <w:t>stal,</w:t>
      </w:r>
      <w:r w:rsidRPr="00F314C1">
        <w:rPr>
          <w:rFonts w:asciiTheme="minorHAnsi" w:hAnsiTheme="minorHAnsi"/>
          <w:sz w:val="24"/>
          <w:szCs w:val="24"/>
        </w:rPr>
        <w:t xml:space="preserve"> areas </w:t>
      </w:r>
      <w:r w:rsidR="00AC0041" w:rsidRPr="00F314C1">
        <w:rPr>
          <w:rFonts w:asciiTheme="minorHAnsi" w:hAnsiTheme="minorHAnsi"/>
          <w:sz w:val="24"/>
          <w:szCs w:val="24"/>
        </w:rPr>
        <w:t xml:space="preserve">who </w:t>
      </w:r>
      <w:r w:rsidR="00497655" w:rsidRPr="00F314C1">
        <w:rPr>
          <w:rFonts w:asciiTheme="minorHAnsi" w:hAnsiTheme="minorHAnsi"/>
          <w:sz w:val="24"/>
          <w:szCs w:val="24"/>
        </w:rPr>
        <w:t xml:space="preserve">participate </w:t>
      </w:r>
      <w:r w:rsidRPr="00F314C1">
        <w:rPr>
          <w:rFonts w:asciiTheme="minorHAnsi" w:hAnsiTheme="minorHAnsi"/>
          <w:sz w:val="24"/>
          <w:szCs w:val="24"/>
        </w:rPr>
        <w:t>in subsistence harvest</w:t>
      </w:r>
      <w:r w:rsidR="00AC0041" w:rsidRPr="00F314C1">
        <w:rPr>
          <w:rFonts w:asciiTheme="minorHAnsi" w:hAnsiTheme="minorHAnsi"/>
          <w:sz w:val="24"/>
          <w:szCs w:val="24"/>
        </w:rPr>
        <w:t xml:space="preserve"> practices</w:t>
      </w:r>
      <w:r w:rsidR="00D30AE4" w:rsidRPr="00F314C1">
        <w:rPr>
          <w:rFonts w:asciiTheme="minorHAnsi" w:hAnsiTheme="minorHAnsi"/>
          <w:sz w:val="24"/>
          <w:szCs w:val="24"/>
        </w:rPr>
        <w:t>. Thus,</w:t>
      </w:r>
      <w:r w:rsidR="00BD1B1D" w:rsidRPr="00F314C1">
        <w:rPr>
          <w:rFonts w:asciiTheme="minorHAnsi" w:hAnsiTheme="minorHAnsi"/>
          <w:sz w:val="24"/>
          <w:szCs w:val="24"/>
        </w:rPr>
        <w:t xml:space="preserve"> any assumptions of</w:t>
      </w:r>
      <w:r w:rsidR="00C801A3">
        <w:rPr>
          <w:rFonts w:asciiTheme="minorHAnsi" w:hAnsiTheme="minorHAnsi"/>
          <w:sz w:val="24"/>
          <w:szCs w:val="24"/>
        </w:rPr>
        <w:t xml:space="preserve"> urban consumption patterns would</w:t>
      </w:r>
      <w:r w:rsidR="00BD1B1D" w:rsidRPr="00F314C1">
        <w:rPr>
          <w:rFonts w:asciiTheme="minorHAnsi" w:hAnsiTheme="minorHAnsi"/>
          <w:sz w:val="24"/>
          <w:szCs w:val="24"/>
        </w:rPr>
        <w:t xml:space="preserve"> be speculative. </w:t>
      </w:r>
    </w:p>
    <w:p w14:paraId="64988073" w14:textId="77777777" w:rsidR="00DB7674" w:rsidRPr="00F314C1" w:rsidRDefault="00DB7674" w:rsidP="00C379D4">
      <w:pPr>
        <w:pStyle w:val="Heading4"/>
        <w:jc w:val="both"/>
        <w:rPr>
          <w:sz w:val="24"/>
          <w:szCs w:val="24"/>
        </w:rPr>
      </w:pPr>
      <w:r w:rsidRPr="00F314C1">
        <w:rPr>
          <w:sz w:val="24"/>
          <w:szCs w:val="24"/>
        </w:rPr>
        <w:t>Temporal Variability</w:t>
      </w:r>
    </w:p>
    <w:p w14:paraId="64988074" w14:textId="21883A42" w:rsidR="00DB7674" w:rsidRPr="00F314C1" w:rsidRDefault="00DB7674" w:rsidP="001725C4">
      <w:pPr>
        <w:autoSpaceDE w:val="0"/>
        <w:autoSpaceDN w:val="0"/>
        <w:adjustRightInd w:val="0"/>
        <w:jc w:val="both"/>
        <w:rPr>
          <w:rFonts w:asciiTheme="minorHAnsi" w:hAnsiTheme="minorHAnsi"/>
          <w:sz w:val="24"/>
          <w:szCs w:val="24"/>
        </w:rPr>
      </w:pPr>
      <w:r w:rsidRPr="00F314C1">
        <w:rPr>
          <w:rFonts w:asciiTheme="minorHAnsi" w:hAnsiTheme="minorHAnsi"/>
          <w:sz w:val="24"/>
          <w:szCs w:val="24"/>
        </w:rPr>
        <w:t xml:space="preserve">Seasonal fluctuations in </w:t>
      </w:r>
      <w:r w:rsidR="009B2ED7" w:rsidRPr="00F314C1">
        <w:rPr>
          <w:rFonts w:asciiTheme="minorHAnsi" w:hAnsiTheme="minorHAnsi"/>
          <w:sz w:val="24"/>
          <w:szCs w:val="24"/>
        </w:rPr>
        <w:t xml:space="preserve">fish consumption are difficult to capture </w:t>
      </w:r>
      <w:r w:rsidR="00233D11" w:rsidRPr="00F314C1">
        <w:rPr>
          <w:rFonts w:asciiTheme="minorHAnsi" w:hAnsiTheme="minorHAnsi"/>
          <w:sz w:val="24"/>
          <w:szCs w:val="24"/>
        </w:rPr>
        <w:t xml:space="preserve">using typical dietary survey designs </w:t>
      </w:r>
      <w:r w:rsidR="009B2ED7" w:rsidRPr="00F314C1">
        <w:rPr>
          <w:rFonts w:asciiTheme="minorHAnsi" w:hAnsiTheme="minorHAnsi"/>
          <w:sz w:val="24"/>
          <w:szCs w:val="24"/>
        </w:rPr>
        <w:t>and</w:t>
      </w:r>
      <w:r w:rsidR="00497655" w:rsidRPr="00F314C1">
        <w:rPr>
          <w:rFonts w:asciiTheme="minorHAnsi" w:hAnsiTheme="minorHAnsi"/>
          <w:sz w:val="24"/>
          <w:szCs w:val="24"/>
        </w:rPr>
        <w:t xml:space="preserve"> are</w:t>
      </w:r>
      <w:r w:rsidR="009B2ED7" w:rsidRPr="00F314C1">
        <w:rPr>
          <w:rFonts w:asciiTheme="minorHAnsi" w:hAnsiTheme="minorHAnsi"/>
          <w:sz w:val="24"/>
          <w:szCs w:val="24"/>
        </w:rPr>
        <w:t xml:space="preserve"> potentially substantial</w:t>
      </w:r>
      <w:r w:rsidR="00BC22C0" w:rsidRPr="00F314C1">
        <w:rPr>
          <w:rFonts w:asciiTheme="minorHAnsi" w:hAnsiTheme="minorHAnsi"/>
          <w:sz w:val="24"/>
          <w:szCs w:val="24"/>
        </w:rPr>
        <w:t xml:space="preserve">, with the greatest variation reported </w:t>
      </w:r>
      <w:r w:rsidR="0002702D" w:rsidRPr="00F314C1">
        <w:rPr>
          <w:rFonts w:asciiTheme="minorHAnsi" w:hAnsiTheme="minorHAnsi"/>
          <w:sz w:val="24"/>
          <w:szCs w:val="24"/>
        </w:rPr>
        <w:t>among non-subsistence populations (Moya, 2004)</w:t>
      </w:r>
      <w:r w:rsidR="009B2ED7" w:rsidRPr="00F314C1">
        <w:rPr>
          <w:rFonts w:asciiTheme="minorHAnsi" w:hAnsiTheme="minorHAnsi"/>
          <w:sz w:val="24"/>
          <w:szCs w:val="24"/>
        </w:rPr>
        <w:t xml:space="preserve">. Information </w:t>
      </w:r>
      <w:r w:rsidR="000C79C5" w:rsidRPr="00F314C1">
        <w:rPr>
          <w:rFonts w:asciiTheme="minorHAnsi" w:hAnsiTheme="minorHAnsi"/>
          <w:sz w:val="24"/>
          <w:szCs w:val="24"/>
        </w:rPr>
        <w:t xml:space="preserve">on </w:t>
      </w:r>
      <w:r w:rsidR="00BE63A8" w:rsidRPr="00F314C1">
        <w:rPr>
          <w:rFonts w:asciiTheme="minorHAnsi" w:hAnsiTheme="minorHAnsi"/>
          <w:sz w:val="24"/>
          <w:szCs w:val="24"/>
        </w:rPr>
        <w:t xml:space="preserve">seasonal </w:t>
      </w:r>
      <w:r w:rsidR="0002702D" w:rsidRPr="00F314C1">
        <w:rPr>
          <w:rFonts w:asciiTheme="minorHAnsi" w:hAnsiTheme="minorHAnsi"/>
          <w:sz w:val="24"/>
          <w:szCs w:val="24"/>
        </w:rPr>
        <w:t xml:space="preserve">fish consumption </w:t>
      </w:r>
      <w:r w:rsidR="009B2ED7" w:rsidRPr="00F314C1">
        <w:rPr>
          <w:rFonts w:asciiTheme="minorHAnsi" w:hAnsiTheme="minorHAnsi"/>
          <w:sz w:val="24"/>
          <w:szCs w:val="24"/>
        </w:rPr>
        <w:t xml:space="preserve">is obscured if dietary recall information </w:t>
      </w:r>
      <w:r w:rsidR="000C79C5" w:rsidRPr="00F314C1">
        <w:rPr>
          <w:rFonts w:asciiTheme="minorHAnsi" w:hAnsiTheme="minorHAnsi"/>
          <w:sz w:val="24"/>
          <w:szCs w:val="24"/>
        </w:rPr>
        <w:t xml:space="preserve">over </w:t>
      </w:r>
      <w:r w:rsidR="009B2ED7" w:rsidRPr="00F314C1">
        <w:rPr>
          <w:rFonts w:asciiTheme="minorHAnsi" w:hAnsiTheme="minorHAnsi"/>
          <w:sz w:val="24"/>
          <w:szCs w:val="24"/>
        </w:rPr>
        <w:t>a long time span (</w:t>
      </w:r>
      <w:r w:rsidR="000C79C5" w:rsidRPr="00F314C1">
        <w:rPr>
          <w:rFonts w:asciiTheme="minorHAnsi" w:hAnsiTheme="minorHAnsi"/>
          <w:sz w:val="24"/>
          <w:szCs w:val="24"/>
        </w:rPr>
        <w:t>e.g.,</w:t>
      </w:r>
      <w:r w:rsidR="009B2ED7" w:rsidRPr="00F314C1">
        <w:rPr>
          <w:rFonts w:asciiTheme="minorHAnsi" w:hAnsiTheme="minorHAnsi"/>
          <w:sz w:val="24"/>
          <w:szCs w:val="24"/>
        </w:rPr>
        <w:t xml:space="preserve"> 12 months) is </w:t>
      </w:r>
      <w:r w:rsidR="000C79C5" w:rsidRPr="00F314C1">
        <w:rPr>
          <w:rFonts w:asciiTheme="minorHAnsi" w:hAnsiTheme="minorHAnsi"/>
          <w:sz w:val="24"/>
          <w:szCs w:val="24"/>
        </w:rPr>
        <w:t>used to develop</w:t>
      </w:r>
      <w:r w:rsidR="009B2ED7" w:rsidRPr="00F314C1">
        <w:rPr>
          <w:rFonts w:asciiTheme="minorHAnsi" w:hAnsiTheme="minorHAnsi"/>
          <w:sz w:val="24"/>
          <w:szCs w:val="24"/>
        </w:rPr>
        <w:t xml:space="preserve"> daily averages</w:t>
      </w:r>
      <w:r w:rsidR="00D30AE4" w:rsidRPr="00F314C1">
        <w:rPr>
          <w:rFonts w:asciiTheme="minorHAnsi" w:hAnsiTheme="minorHAnsi"/>
          <w:sz w:val="24"/>
          <w:szCs w:val="24"/>
        </w:rPr>
        <w:t>.</w:t>
      </w:r>
      <w:r w:rsidR="009B2ED7" w:rsidRPr="00F314C1">
        <w:rPr>
          <w:rFonts w:asciiTheme="minorHAnsi" w:hAnsiTheme="minorHAnsi"/>
          <w:sz w:val="24"/>
          <w:szCs w:val="24"/>
        </w:rPr>
        <w:t xml:space="preserve"> </w:t>
      </w:r>
      <w:r w:rsidR="00C97BFF" w:rsidRPr="00F314C1">
        <w:rPr>
          <w:rFonts w:asciiTheme="minorHAnsi" w:hAnsiTheme="minorHAnsi"/>
          <w:sz w:val="24"/>
          <w:szCs w:val="24"/>
        </w:rPr>
        <w:t>Several s</w:t>
      </w:r>
      <w:r w:rsidR="000C79C5" w:rsidRPr="00F314C1">
        <w:rPr>
          <w:rFonts w:asciiTheme="minorHAnsi" w:hAnsiTheme="minorHAnsi"/>
          <w:sz w:val="24"/>
          <w:szCs w:val="24"/>
        </w:rPr>
        <w:t>tudies</w:t>
      </w:r>
      <w:r w:rsidR="00C97BFF" w:rsidRPr="00F314C1">
        <w:rPr>
          <w:rFonts w:asciiTheme="minorHAnsi" w:hAnsiTheme="minorHAnsi"/>
          <w:sz w:val="24"/>
          <w:szCs w:val="24"/>
        </w:rPr>
        <w:t xml:space="preserve"> </w:t>
      </w:r>
      <w:r w:rsidR="00497655" w:rsidRPr="00F314C1">
        <w:rPr>
          <w:rFonts w:asciiTheme="minorHAnsi" w:hAnsiTheme="minorHAnsi"/>
          <w:sz w:val="24"/>
          <w:szCs w:val="24"/>
        </w:rPr>
        <w:t>capture information on seasonal fluctuations</w:t>
      </w:r>
      <w:r w:rsidR="000C79C5" w:rsidRPr="00F314C1">
        <w:rPr>
          <w:rFonts w:asciiTheme="minorHAnsi" w:hAnsiTheme="minorHAnsi"/>
          <w:sz w:val="24"/>
          <w:szCs w:val="24"/>
        </w:rPr>
        <w:t xml:space="preserve"> (</w:t>
      </w:r>
      <w:r w:rsidR="00C97BFF" w:rsidRPr="00F314C1">
        <w:rPr>
          <w:rFonts w:asciiTheme="minorHAnsi" w:hAnsiTheme="minorHAnsi"/>
          <w:sz w:val="24"/>
          <w:szCs w:val="24"/>
        </w:rPr>
        <w:t>Ballew et al.</w:t>
      </w:r>
      <w:r w:rsidR="0005449C" w:rsidRPr="00F314C1">
        <w:rPr>
          <w:rFonts w:asciiTheme="minorHAnsi" w:hAnsiTheme="minorHAnsi"/>
          <w:sz w:val="24"/>
          <w:szCs w:val="24"/>
        </w:rPr>
        <w:t xml:space="preserve"> 2004;</w:t>
      </w:r>
      <w:r w:rsidR="00C97BFF" w:rsidRPr="00F314C1">
        <w:rPr>
          <w:rFonts w:asciiTheme="minorHAnsi" w:hAnsiTheme="minorHAnsi"/>
          <w:sz w:val="24"/>
          <w:szCs w:val="24"/>
        </w:rPr>
        <w:t xml:space="preserve"> Johnson et al.</w:t>
      </w:r>
      <w:r w:rsidR="0005449C" w:rsidRPr="00F314C1">
        <w:rPr>
          <w:rFonts w:asciiTheme="minorHAnsi" w:hAnsiTheme="minorHAnsi"/>
          <w:sz w:val="24"/>
          <w:szCs w:val="24"/>
        </w:rPr>
        <w:t xml:space="preserve"> 2009;</w:t>
      </w:r>
      <w:r w:rsidR="00C97BFF" w:rsidRPr="00F314C1">
        <w:rPr>
          <w:rFonts w:asciiTheme="minorHAnsi" w:hAnsiTheme="minorHAnsi"/>
          <w:sz w:val="24"/>
          <w:szCs w:val="24"/>
        </w:rPr>
        <w:t xml:space="preserve"> Loring, Gerlach &amp; Harris</w:t>
      </w:r>
      <w:r w:rsidR="0005449C" w:rsidRPr="00F314C1">
        <w:rPr>
          <w:rFonts w:asciiTheme="minorHAnsi" w:hAnsiTheme="minorHAnsi"/>
          <w:sz w:val="24"/>
          <w:szCs w:val="24"/>
        </w:rPr>
        <w:t>on 2013;</w:t>
      </w:r>
      <w:r w:rsidR="00C97BFF" w:rsidRPr="00F314C1">
        <w:rPr>
          <w:rFonts w:asciiTheme="minorHAnsi" w:hAnsiTheme="minorHAnsi"/>
          <w:sz w:val="24"/>
          <w:szCs w:val="24"/>
        </w:rPr>
        <w:t xml:space="preserve"> Nobmann </w:t>
      </w:r>
      <w:r w:rsidR="0005449C" w:rsidRPr="00F314C1">
        <w:rPr>
          <w:rFonts w:asciiTheme="minorHAnsi" w:hAnsiTheme="minorHAnsi"/>
          <w:sz w:val="24"/>
          <w:szCs w:val="24"/>
        </w:rPr>
        <w:t>et al. 1992;</w:t>
      </w:r>
      <w:r w:rsidR="00C97BFF" w:rsidRPr="00F314C1">
        <w:rPr>
          <w:rFonts w:asciiTheme="minorHAnsi" w:hAnsiTheme="minorHAnsi"/>
          <w:sz w:val="24"/>
          <w:szCs w:val="24"/>
        </w:rPr>
        <w:t xml:space="preserve"> SVT</w:t>
      </w:r>
      <w:r w:rsidR="00087B6D">
        <w:rPr>
          <w:rFonts w:asciiTheme="minorHAnsi" w:hAnsiTheme="minorHAnsi"/>
          <w:sz w:val="24"/>
          <w:szCs w:val="24"/>
        </w:rPr>
        <w:t>,</w:t>
      </w:r>
      <w:r w:rsidR="00C97BFF" w:rsidRPr="00F314C1">
        <w:rPr>
          <w:rFonts w:asciiTheme="minorHAnsi" w:hAnsiTheme="minorHAnsi"/>
          <w:sz w:val="24"/>
          <w:szCs w:val="24"/>
        </w:rPr>
        <w:t xml:space="preserve"> 2013) and</w:t>
      </w:r>
      <w:r w:rsidR="0002702D" w:rsidRPr="00F314C1">
        <w:rPr>
          <w:rFonts w:asciiTheme="minorHAnsi" w:hAnsiTheme="minorHAnsi"/>
          <w:sz w:val="24"/>
          <w:szCs w:val="24"/>
        </w:rPr>
        <w:t xml:space="preserve"> contain</w:t>
      </w:r>
      <w:r w:rsidR="00497655" w:rsidRPr="00F314C1">
        <w:rPr>
          <w:rFonts w:asciiTheme="minorHAnsi" w:hAnsiTheme="minorHAnsi"/>
          <w:sz w:val="24"/>
          <w:szCs w:val="24"/>
        </w:rPr>
        <w:t xml:space="preserve"> information on </w:t>
      </w:r>
      <w:r w:rsidR="000C79C5" w:rsidRPr="00F314C1">
        <w:rPr>
          <w:rFonts w:asciiTheme="minorHAnsi" w:hAnsiTheme="minorHAnsi"/>
          <w:sz w:val="24"/>
          <w:szCs w:val="24"/>
        </w:rPr>
        <w:t xml:space="preserve">the months of </w:t>
      </w:r>
      <w:r w:rsidR="00497655" w:rsidRPr="00F314C1">
        <w:rPr>
          <w:rFonts w:asciiTheme="minorHAnsi" w:hAnsiTheme="minorHAnsi"/>
          <w:sz w:val="24"/>
          <w:szCs w:val="24"/>
        </w:rPr>
        <w:t xml:space="preserve">highest consumption, but change in FCR </w:t>
      </w:r>
      <w:r w:rsidR="00BC22C0" w:rsidRPr="00F314C1">
        <w:rPr>
          <w:rFonts w:asciiTheme="minorHAnsi" w:hAnsiTheme="minorHAnsi"/>
          <w:sz w:val="24"/>
          <w:szCs w:val="24"/>
        </w:rPr>
        <w:t>i</w:t>
      </w:r>
      <w:r w:rsidR="00497655" w:rsidRPr="00F314C1">
        <w:rPr>
          <w:rFonts w:asciiTheme="minorHAnsi" w:hAnsiTheme="minorHAnsi"/>
          <w:sz w:val="24"/>
          <w:szCs w:val="24"/>
        </w:rPr>
        <w:t xml:space="preserve">s </w:t>
      </w:r>
      <w:r w:rsidR="00BC22C0" w:rsidRPr="00F314C1">
        <w:rPr>
          <w:rFonts w:asciiTheme="minorHAnsi" w:hAnsiTheme="minorHAnsi"/>
          <w:sz w:val="24"/>
          <w:szCs w:val="24"/>
        </w:rPr>
        <w:t>only</w:t>
      </w:r>
      <w:r w:rsidR="00497655" w:rsidRPr="00F314C1">
        <w:rPr>
          <w:rFonts w:asciiTheme="minorHAnsi" w:hAnsiTheme="minorHAnsi"/>
          <w:sz w:val="24"/>
          <w:szCs w:val="24"/>
        </w:rPr>
        <w:t xml:space="preserve"> specified</w:t>
      </w:r>
      <w:r w:rsidR="00BC22C0" w:rsidRPr="00F314C1">
        <w:rPr>
          <w:rFonts w:asciiTheme="minorHAnsi" w:hAnsiTheme="minorHAnsi"/>
          <w:sz w:val="24"/>
          <w:szCs w:val="24"/>
        </w:rPr>
        <w:t xml:space="preserve"> in one report (SVT, 2013)</w:t>
      </w:r>
      <w:r w:rsidR="00497655" w:rsidRPr="00F314C1">
        <w:rPr>
          <w:rFonts w:asciiTheme="minorHAnsi" w:hAnsiTheme="minorHAnsi"/>
          <w:sz w:val="24"/>
          <w:szCs w:val="24"/>
        </w:rPr>
        <w:t xml:space="preserve">. </w:t>
      </w:r>
      <w:r w:rsidR="00BC22C0" w:rsidRPr="00F314C1">
        <w:rPr>
          <w:rFonts w:asciiTheme="minorHAnsi" w:hAnsiTheme="minorHAnsi"/>
          <w:sz w:val="24"/>
          <w:szCs w:val="24"/>
        </w:rPr>
        <w:t xml:space="preserve">In that study, estimated average FCR for residents of the </w:t>
      </w:r>
      <w:proofErr w:type="spellStart"/>
      <w:r w:rsidR="00BC22C0" w:rsidRPr="00F314C1">
        <w:rPr>
          <w:rFonts w:asciiTheme="minorHAnsi" w:hAnsiTheme="minorHAnsi"/>
          <w:sz w:val="24"/>
          <w:szCs w:val="24"/>
        </w:rPr>
        <w:t>Seldovia</w:t>
      </w:r>
      <w:proofErr w:type="spellEnd"/>
      <w:r w:rsidR="00BC22C0" w:rsidRPr="00F314C1">
        <w:rPr>
          <w:rFonts w:asciiTheme="minorHAnsi" w:hAnsiTheme="minorHAnsi"/>
          <w:sz w:val="24"/>
          <w:szCs w:val="24"/>
        </w:rPr>
        <w:t xml:space="preserve"> Village Tribe during the highest two consumption months was almost three times greater than FCR during the lowest two consumption months. </w:t>
      </w:r>
      <w:r w:rsidR="00497655" w:rsidRPr="00F314C1">
        <w:rPr>
          <w:rFonts w:asciiTheme="minorHAnsi" w:hAnsiTheme="minorHAnsi"/>
          <w:sz w:val="24"/>
          <w:szCs w:val="24"/>
        </w:rPr>
        <w:t xml:space="preserve">Additional information </w:t>
      </w:r>
      <w:r w:rsidR="00BC22C0" w:rsidRPr="00F314C1">
        <w:rPr>
          <w:rFonts w:asciiTheme="minorHAnsi" w:hAnsiTheme="minorHAnsi"/>
          <w:sz w:val="24"/>
          <w:szCs w:val="24"/>
        </w:rPr>
        <w:t xml:space="preserve">from diverse study populations </w:t>
      </w:r>
      <w:r w:rsidR="00497655" w:rsidRPr="00F314C1">
        <w:rPr>
          <w:rFonts w:asciiTheme="minorHAnsi" w:hAnsiTheme="minorHAnsi"/>
          <w:sz w:val="24"/>
          <w:szCs w:val="24"/>
        </w:rPr>
        <w:t xml:space="preserve">is needed </w:t>
      </w:r>
      <w:r w:rsidR="00BC22C0" w:rsidRPr="00F314C1">
        <w:rPr>
          <w:rFonts w:asciiTheme="minorHAnsi" w:hAnsiTheme="minorHAnsi"/>
          <w:sz w:val="24"/>
          <w:szCs w:val="24"/>
        </w:rPr>
        <w:t>to further understand</w:t>
      </w:r>
      <w:r w:rsidR="00497655" w:rsidRPr="00F314C1">
        <w:rPr>
          <w:rFonts w:asciiTheme="minorHAnsi" w:hAnsiTheme="minorHAnsi"/>
          <w:sz w:val="24"/>
          <w:szCs w:val="24"/>
        </w:rPr>
        <w:t xml:space="preserve"> the </w:t>
      </w:r>
      <w:r w:rsidR="00C97BFF" w:rsidRPr="00F314C1">
        <w:rPr>
          <w:rFonts w:asciiTheme="minorHAnsi" w:hAnsiTheme="minorHAnsi"/>
          <w:sz w:val="24"/>
          <w:szCs w:val="24"/>
        </w:rPr>
        <w:t xml:space="preserve">specific </w:t>
      </w:r>
      <w:r w:rsidR="00497655" w:rsidRPr="00F314C1">
        <w:rPr>
          <w:rFonts w:asciiTheme="minorHAnsi" w:hAnsiTheme="minorHAnsi"/>
          <w:sz w:val="24"/>
          <w:szCs w:val="24"/>
        </w:rPr>
        <w:t xml:space="preserve">fluctuations in </w:t>
      </w:r>
      <w:r w:rsidR="000C79C5" w:rsidRPr="00F314C1">
        <w:rPr>
          <w:rFonts w:asciiTheme="minorHAnsi" w:hAnsiTheme="minorHAnsi"/>
          <w:sz w:val="24"/>
          <w:szCs w:val="24"/>
        </w:rPr>
        <w:t xml:space="preserve">amount of fish consumed </w:t>
      </w:r>
      <w:r w:rsidR="00497655" w:rsidRPr="00F314C1">
        <w:rPr>
          <w:rFonts w:asciiTheme="minorHAnsi" w:hAnsiTheme="minorHAnsi"/>
          <w:sz w:val="24"/>
          <w:szCs w:val="24"/>
        </w:rPr>
        <w:t>from month to month</w:t>
      </w:r>
      <w:r w:rsidR="0002702D" w:rsidRPr="00F314C1">
        <w:rPr>
          <w:rFonts w:asciiTheme="minorHAnsi" w:hAnsiTheme="minorHAnsi"/>
          <w:sz w:val="24"/>
          <w:szCs w:val="24"/>
        </w:rPr>
        <w:t xml:space="preserve"> </w:t>
      </w:r>
      <w:r w:rsidR="00257222" w:rsidRPr="00F314C1">
        <w:rPr>
          <w:rFonts w:asciiTheme="minorHAnsi" w:hAnsiTheme="minorHAnsi"/>
          <w:sz w:val="24"/>
          <w:szCs w:val="24"/>
        </w:rPr>
        <w:t>among Alaskan consumers</w:t>
      </w:r>
      <w:r w:rsidR="00497655" w:rsidRPr="00F314C1">
        <w:rPr>
          <w:rFonts w:asciiTheme="minorHAnsi" w:hAnsiTheme="minorHAnsi"/>
          <w:sz w:val="24"/>
          <w:szCs w:val="24"/>
        </w:rPr>
        <w:t>.</w:t>
      </w:r>
    </w:p>
    <w:p w14:paraId="64988075" w14:textId="77777777" w:rsidR="000D1CAE" w:rsidRPr="00F314C1" w:rsidRDefault="000D1CAE" w:rsidP="00C379D4">
      <w:pPr>
        <w:pStyle w:val="Heading4"/>
        <w:jc w:val="both"/>
        <w:rPr>
          <w:sz w:val="24"/>
          <w:szCs w:val="24"/>
        </w:rPr>
      </w:pPr>
      <w:r w:rsidRPr="00F314C1">
        <w:rPr>
          <w:sz w:val="24"/>
          <w:szCs w:val="24"/>
        </w:rPr>
        <w:t>Regional Variances</w:t>
      </w:r>
    </w:p>
    <w:p w14:paraId="64988076" w14:textId="6732DAF5" w:rsidR="009B2ED7" w:rsidRPr="00F314C1" w:rsidRDefault="00746422" w:rsidP="00C379D4">
      <w:pPr>
        <w:jc w:val="both"/>
        <w:rPr>
          <w:rFonts w:asciiTheme="minorHAnsi" w:hAnsiTheme="minorHAnsi"/>
          <w:sz w:val="24"/>
          <w:szCs w:val="24"/>
        </w:rPr>
      </w:pPr>
      <w:r w:rsidRPr="00F314C1">
        <w:rPr>
          <w:rFonts w:asciiTheme="minorHAnsi" w:hAnsiTheme="minorHAnsi"/>
          <w:sz w:val="24"/>
          <w:szCs w:val="24"/>
        </w:rPr>
        <w:t>S</w:t>
      </w:r>
      <w:r w:rsidR="009B2ED7" w:rsidRPr="00F314C1">
        <w:rPr>
          <w:rFonts w:asciiTheme="minorHAnsi" w:hAnsiTheme="minorHAnsi"/>
          <w:sz w:val="24"/>
          <w:szCs w:val="24"/>
        </w:rPr>
        <w:t>ignificant variance</w:t>
      </w:r>
      <w:r w:rsidR="0005449C" w:rsidRPr="00F314C1">
        <w:rPr>
          <w:rFonts w:asciiTheme="minorHAnsi" w:hAnsiTheme="minorHAnsi"/>
          <w:sz w:val="24"/>
          <w:szCs w:val="24"/>
        </w:rPr>
        <w:t>s</w:t>
      </w:r>
      <w:r w:rsidR="009B2ED7" w:rsidRPr="00F314C1">
        <w:rPr>
          <w:rFonts w:asciiTheme="minorHAnsi" w:hAnsiTheme="minorHAnsi"/>
          <w:sz w:val="24"/>
          <w:szCs w:val="24"/>
        </w:rPr>
        <w:t xml:space="preserve"> in consumption </w:t>
      </w:r>
      <w:r w:rsidRPr="00F314C1">
        <w:rPr>
          <w:rFonts w:asciiTheme="minorHAnsi" w:hAnsiTheme="minorHAnsi"/>
          <w:sz w:val="24"/>
          <w:szCs w:val="24"/>
        </w:rPr>
        <w:t xml:space="preserve">patterns </w:t>
      </w:r>
      <w:r w:rsidR="0014068C" w:rsidRPr="00F314C1">
        <w:rPr>
          <w:rFonts w:asciiTheme="minorHAnsi" w:hAnsiTheme="minorHAnsi"/>
          <w:sz w:val="24"/>
          <w:szCs w:val="24"/>
        </w:rPr>
        <w:t>are</w:t>
      </w:r>
      <w:r w:rsidR="009B2ED7" w:rsidRPr="00F314C1">
        <w:rPr>
          <w:rFonts w:asciiTheme="minorHAnsi" w:hAnsiTheme="minorHAnsi"/>
          <w:sz w:val="24"/>
          <w:szCs w:val="24"/>
        </w:rPr>
        <w:t xml:space="preserve"> obser</w:t>
      </w:r>
      <w:r w:rsidR="00497655" w:rsidRPr="00F314C1">
        <w:rPr>
          <w:rFonts w:asciiTheme="minorHAnsi" w:hAnsiTheme="minorHAnsi"/>
          <w:sz w:val="24"/>
          <w:szCs w:val="24"/>
        </w:rPr>
        <w:t xml:space="preserve">ved </w:t>
      </w:r>
      <w:r w:rsidR="0014068C" w:rsidRPr="00F314C1">
        <w:rPr>
          <w:rFonts w:asciiTheme="minorHAnsi" w:hAnsiTheme="minorHAnsi"/>
          <w:sz w:val="24"/>
          <w:szCs w:val="24"/>
        </w:rPr>
        <w:t xml:space="preserve">within </w:t>
      </w:r>
      <w:r w:rsidR="009B2ED7" w:rsidRPr="00F314C1">
        <w:rPr>
          <w:rFonts w:asciiTheme="minorHAnsi" w:hAnsiTheme="minorHAnsi"/>
          <w:sz w:val="24"/>
          <w:szCs w:val="24"/>
        </w:rPr>
        <w:t>populations of the same ethnicity in similar geographic locations</w:t>
      </w:r>
      <w:r w:rsidR="0014068C" w:rsidRPr="00F314C1">
        <w:rPr>
          <w:rFonts w:asciiTheme="minorHAnsi" w:hAnsiTheme="minorHAnsi"/>
          <w:sz w:val="24"/>
          <w:szCs w:val="24"/>
        </w:rPr>
        <w:t>,</w:t>
      </w:r>
      <w:r w:rsidR="00497655" w:rsidRPr="00F314C1">
        <w:rPr>
          <w:rFonts w:asciiTheme="minorHAnsi" w:hAnsiTheme="minorHAnsi"/>
          <w:sz w:val="24"/>
          <w:szCs w:val="24"/>
        </w:rPr>
        <w:t xml:space="preserve"> </w:t>
      </w:r>
      <w:r w:rsidR="0014068C" w:rsidRPr="00F314C1">
        <w:rPr>
          <w:rFonts w:asciiTheme="minorHAnsi" w:hAnsiTheme="minorHAnsi"/>
          <w:sz w:val="24"/>
          <w:szCs w:val="24"/>
        </w:rPr>
        <w:t xml:space="preserve">as well as </w:t>
      </w:r>
      <w:r w:rsidR="00497655" w:rsidRPr="00F314C1">
        <w:rPr>
          <w:rFonts w:asciiTheme="minorHAnsi" w:hAnsiTheme="minorHAnsi"/>
          <w:sz w:val="24"/>
          <w:szCs w:val="24"/>
        </w:rPr>
        <w:t>between individuals in the same village</w:t>
      </w:r>
      <w:r w:rsidR="009B2ED7" w:rsidRPr="00F314C1">
        <w:rPr>
          <w:rFonts w:asciiTheme="minorHAnsi" w:hAnsiTheme="minorHAnsi"/>
          <w:sz w:val="24"/>
          <w:szCs w:val="24"/>
        </w:rPr>
        <w:t xml:space="preserve">. </w:t>
      </w:r>
      <w:r w:rsidR="0014068C" w:rsidRPr="00F314C1">
        <w:rPr>
          <w:rFonts w:asciiTheme="minorHAnsi" w:hAnsiTheme="minorHAnsi"/>
          <w:sz w:val="24"/>
          <w:szCs w:val="24"/>
        </w:rPr>
        <w:t xml:space="preserve">Further research and analysis would be needed to determine </w:t>
      </w:r>
      <w:r w:rsidR="009B2ED7" w:rsidRPr="00F314C1">
        <w:rPr>
          <w:rFonts w:asciiTheme="minorHAnsi" w:hAnsiTheme="minorHAnsi"/>
          <w:sz w:val="24"/>
          <w:szCs w:val="24"/>
        </w:rPr>
        <w:t xml:space="preserve">whether the variances are due to </w:t>
      </w:r>
      <w:r w:rsidR="00497655" w:rsidRPr="00F314C1">
        <w:rPr>
          <w:rFonts w:asciiTheme="minorHAnsi" w:hAnsiTheme="minorHAnsi"/>
          <w:sz w:val="24"/>
          <w:szCs w:val="24"/>
        </w:rPr>
        <w:t xml:space="preserve">differences in the </w:t>
      </w:r>
      <w:r w:rsidR="009B2ED7" w:rsidRPr="00F314C1">
        <w:rPr>
          <w:rFonts w:asciiTheme="minorHAnsi" w:hAnsiTheme="minorHAnsi"/>
          <w:sz w:val="24"/>
          <w:szCs w:val="24"/>
        </w:rPr>
        <w:t xml:space="preserve">consumption habits, or due to misclassification caused by bias in the survey results. </w:t>
      </w:r>
    </w:p>
    <w:p w14:paraId="64988077" w14:textId="77777777" w:rsidR="000D1CAE" w:rsidRPr="00F314C1" w:rsidRDefault="000D1CAE" w:rsidP="00C379D4">
      <w:pPr>
        <w:pStyle w:val="SectionHeader"/>
        <w:jc w:val="both"/>
        <w:rPr>
          <w:sz w:val="24"/>
          <w:szCs w:val="24"/>
        </w:rPr>
      </w:pPr>
      <w:bookmarkStart w:id="60" w:name="_Toc390121673"/>
      <w:bookmarkStart w:id="61" w:name="_Toc390121739"/>
      <w:bookmarkStart w:id="62" w:name="_Toc390121874"/>
      <w:bookmarkStart w:id="63" w:name="_Toc391035980"/>
      <w:r w:rsidRPr="00F314C1">
        <w:rPr>
          <w:sz w:val="24"/>
          <w:szCs w:val="24"/>
        </w:rPr>
        <w:lastRenderedPageBreak/>
        <w:t>Recommendations</w:t>
      </w:r>
      <w:bookmarkEnd w:id="60"/>
      <w:bookmarkEnd w:id="61"/>
      <w:bookmarkEnd w:id="62"/>
      <w:bookmarkEnd w:id="63"/>
      <w:r w:rsidRPr="00F314C1">
        <w:rPr>
          <w:sz w:val="24"/>
          <w:szCs w:val="24"/>
        </w:rPr>
        <w:t xml:space="preserve"> </w:t>
      </w:r>
    </w:p>
    <w:p w14:paraId="69AE4F21" w14:textId="18219078" w:rsidR="00AF169D" w:rsidRPr="00F314C1" w:rsidRDefault="003B416C" w:rsidP="00C379D4">
      <w:pPr>
        <w:jc w:val="both"/>
        <w:rPr>
          <w:rFonts w:asciiTheme="minorHAnsi" w:hAnsiTheme="minorHAnsi"/>
          <w:sz w:val="24"/>
          <w:szCs w:val="24"/>
        </w:rPr>
      </w:pPr>
      <w:r w:rsidRPr="00F314C1">
        <w:rPr>
          <w:rFonts w:asciiTheme="minorHAnsi" w:hAnsiTheme="minorHAnsi"/>
          <w:sz w:val="24"/>
          <w:szCs w:val="24"/>
        </w:rPr>
        <w:t xml:space="preserve">Although the existing data sources reviewed in this report have limitations, they provide findings that can inform preliminary </w:t>
      </w:r>
      <w:r w:rsidR="00A34949" w:rsidRPr="00F314C1">
        <w:rPr>
          <w:rFonts w:asciiTheme="minorHAnsi" w:hAnsiTheme="minorHAnsi"/>
          <w:sz w:val="24"/>
          <w:szCs w:val="24"/>
        </w:rPr>
        <w:t>efforts to develop FCRs for Alaska</w:t>
      </w:r>
      <w:r w:rsidRPr="00F314C1">
        <w:rPr>
          <w:rFonts w:asciiTheme="minorHAnsi" w:hAnsiTheme="minorHAnsi"/>
          <w:sz w:val="24"/>
          <w:szCs w:val="24"/>
        </w:rPr>
        <w:t xml:space="preserve">. For instance, </w:t>
      </w:r>
      <w:r w:rsidR="00A34949" w:rsidRPr="00F314C1">
        <w:rPr>
          <w:rFonts w:asciiTheme="minorHAnsi" w:hAnsiTheme="minorHAnsi"/>
          <w:sz w:val="24"/>
          <w:szCs w:val="24"/>
        </w:rPr>
        <w:t>Ballew et al. (2004)</w:t>
      </w:r>
      <w:r w:rsidR="00BF7D73" w:rsidRPr="00F314C1">
        <w:rPr>
          <w:rFonts w:asciiTheme="minorHAnsi" w:hAnsiTheme="minorHAnsi"/>
          <w:sz w:val="24"/>
          <w:szCs w:val="24"/>
        </w:rPr>
        <w:t xml:space="preserve"> reports maximum per person consumption in pounds per year in coastal subsistence communities,</w:t>
      </w:r>
      <w:r w:rsidR="001725C4" w:rsidRPr="00F314C1">
        <w:rPr>
          <w:rFonts w:asciiTheme="minorHAnsi" w:hAnsiTheme="minorHAnsi"/>
          <w:sz w:val="24"/>
          <w:szCs w:val="24"/>
        </w:rPr>
        <w:t xml:space="preserve"> which provides an </w:t>
      </w:r>
      <w:r w:rsidR="00BF7D73" w:rsidRPr="00F314C1">
        <w:rPr>
          <w:rFonts w:asciiTheme="minorHAnsi" w:hAnsiTheme="minorHAnsi"/>
          <w:sz w:val="24"/>
          <w:szCs w:val="24"/>
        </w:rPr>
        <w:t xml:space="preserve">estimate of fish consumption for individuals who </w:t>
      </w:r>
      <w:r w:rsidR="00C97BFF" w:rsidRPr="00F314C1">
        <w:rPr>
          <w:rFonts w:asciiTheme="minorHAnsi" w:hAnsiTheme="minorHAnsi"/>
          <w:sz w:val="24"/>
          <w:szCs w:val="24"/>
        </w:rPr>
        <w:t>are likely to be among Alaska</w:t>
      </w:r>
      <w:r w:rsidR="00BF7D73" w:rsidRPr="00F314C1">
        <w:rPr>
          <w:rFonts w:asciiTheme="minorHAnsi" w:hAnsiTheme="minorHAnsi"/>
          <w:sz w:val="24"/>
          <w:szCs w:val="24"/>
        </w:rPr>
        <w:t xml:space="preserve">’s highest fish consumers. Additionally, findings by Nobmann (1992) and the </w:t>
      </w:r>
      <w:proofErr w:type="spellStart"/>
      <w:r w:rsidR="00BF7D73" w:rsidRPr="00F314C1">
        <w:rPr>
          <w:rFonts w:asciiTheme="minorHAnsi" w:hAnsiTheme="minorHAnsi"/>
          <w:sz w:val="24"/>
          <w:szCs w:val="24"/>
        </w:rPr>
        <w:t>Seldovia</w:t>
      </w:r>
      <w:proofErr w:type="spellEnd"/>
      <w:r w:rsidR="00BF7D73" w:rsidRPr="00F314C1">
        <w:rPr>
          <w:rFonts w:asciiTheme="minorHAnsi" w:hAnsiTheme="minorHAnsi"/>
          <w:sz w:val="24"/>
          <w:szCs w:val="24"/>
        </w:rPr>
        <w:t xml:space="preserve"> Village Tribe (2013) present statistically significant evidence that </w:t>
      </w:r>
      <w:r w:rsidR="000E4728" w:rsidRPr="00F314C1">
        <w:rPr>
          <w:rFonts w:asciiTheme="minorHAnsi" w:hAnsiTheme="minorHAnsi"/>
          <w:sz w:val="24"/>
          <w:szCs w:val="24"/>
        </w:rPr>
        <w:t xml:space="preserve">within </w:t>
      </w:r>
      <w:r w:rsidR="0005449C" w:rsidRPr="00F314C1">
        <w:rPr>
          <w:rFonts w:asciiTheme="minorHAnsi" w:hAnsiTheme="minorHAnsi"/>
          <w:sz w:val="24"/>
          <w:szCs w:val="24"/>
        </w:rPr>
        <w:t xml:space="preserve">the </w:t>
      </w:r>
      <w:r w:rsidR="000E4728" w:rsidRPr="00F314C1">
        <w:rPr>
          <w:rFonts w:asciiTheme="minorHAnsi" w:hAnsiTheme="minorHAnsi"/>
          <w:sz w:val="24"/>
          <w:szCs w:val="24"/>
        </w:rPr>
        <w:t>subsistence communities</w:t>
      </w:r>
      <w:r w:rsidR="0005449C" w:rsidRPr="00F314C1">
        <w:rPr>
          <w:rFonts w:asciiTheme="minorHAnsi" w:hAnsiTheme="minorHAnsi"/>
          <w:sz w:val="24"/>
          <w:szCs w:val="24"/>
        </w:rPr>
        <w:t xml:space="preserve"> studied</w:t>
      </w:r>
      <w:r w:rsidR="000E4728" w:rsidRPr="00F314C1">
        <w:rPr>
          <w:rFonts w:asciiTheme="minorHAnsi" w:hAnsiTheme="minorHAnsi"/>
          <w:sz w:val="24"/>
          <w:szCs w:val="24"/>
        </w:rPr>
        <w:t xml:space="preserve">, the average </w:t>
      </w:r>
      <w:r w:rsidR="007F6D08" w:rsidRPr="00F314C1">
        <w:rPr>
          <w:rFonts w:asciiTheme="minorHAnsi" w:hAnsiTheme="minorHAnsi"/>
          <w:sz w:val="24"/>
          <w:szCs w:val="24"/>
        </w:rPr>
        <w:t>FCR</w:t>
      </w:r>
      <w:r w:rsidR="000E4728" w:rsidRPr="00F314C1">
        <w:rPr>
          <w:rFonts w:asciiTheme="minorHAnsi" w:hAnsiTheme="minorHAnsi"/>
          <w:sz w:val="24"/>
          <w:szCs w:val="24"/>
        </w:rPr>
        <w:t xml:space="preserve"> exceeds the current EPA default rate of 22 g/day, even when allowing for a large standard error in the study calculations. </w:t>
      </w:r>
    </w:p>
    <w:p w14:paraId="2F3B2121" w14:textId="7CB7F01E" w:rsidR="000E4728" w:rsidRPr="00F314C1" w:rsidRDefault="00D30AE4" w:rsidP="00C379D4">
      <w:pPr>
        <w:jc w:val="both"/>
        <w:rPr>
          <w:rFonts w:asciiTheme="minorHAnsi" w:hAnsiTheme="minorHAnsi"/>
          <w:sz w:val="24"/>
          <w:szCs w:val="24"/>
        </w:rPr>
      </w:pPr>
      <w:r w:rsidRPr="00F314C1">
        <w:rPr>
          <w:rFonts w:asciiTheme="minorHAnsi" w:hAnsiTheme="minorHAnsi"/>
          <w:sz w:val="24"/>
          <w:szCs w:val="24"/>
        </w:rPr>
        <w:t xml:space="preserve">Currently there is no standardized process for states to following when identifying and developing data sources to use in determining FCR for deriving </w:t>
      </w:r>
      <w:r w:rsidR="00D31726">
        <w:rPr>
          <w:rFonts w:asciiTheme="minorHAnsi" w:hAnsiTheme="minorHAnsi"/>
          <w:sz w:val="24"/>
          <w:szCs w:val="24"/>
        </w:rPr>
        <w:t>HHC</w:t>
      </w:r>
      <w:r w:rsidRPr="00F314C1">
        <w:rPr>
          <w:rFonts w:asciiTheme="minorHAnsi" w:hAnsiTheme="minorHAnsi"/>
          <w:sz w:val="24"/>
          <w:szCs w:val="24"/>
        </w:rPr>
        <w:t xml:space="preserve">. ADEC may want to consider conducting a review of methodologies used by states to develop FCRs in different regions of the country, and dietary survey methods utilized in various sectors of the scientific community. A comparative analysis of different approaches will be critical in identifying a process that is most compatible with the policy and public health objectives of ADEC. </w:t>
      </w:r>
    </w:p>
    <w:p w14:paraId="6498807A" w14:textId="59D18DD0" w:rsidR="00AB06F4" w:rsidRPr="00F314C1" w:rsidRDefault="007B27A2" w:rsidP="00C379D4">
      <w:pPr>
        <w:jc w:val="both"/>
        <w:rPr>
          <w:rFonts w:asciiTheme="minorHAnsi" w:hAnsiTheme="minorHAnsi"/>
          <w:sz w:val="24"/>
          <w:szCs w:val="24"/>
        </w:rPr>
      </w:pPr>
      <w:r w:rsidRPr="00F314C1">
        <w:rPr>
          <w:rFonts w:asciiTheme="minorHAnsi" w:hAnsiTheme="minorHAnsi"/>
          <w:sz w:val="24"/>
          <w:szCs w:val="24"/>
        </w:rPr>
        <w:t>Alaska’s population is diverse and fish consumption practices vary</w:t>
      </w:r>
      <w:r w:rsidR="00632382" w:rsidRPr="00F314C1">
        <w:rPr>
          <w:rFonts w:asciiTheme="minorHAnsi" w:hAnsiTheme="minorHAnsi"/>
          <w:sz w:val="24"/>
          <w:szCs w:val="24"/>
        </w:rPr>
        <w:t xml:space="preserve"> widely</w:t>
      </w:r>
      <w:r w:rsidRPr="00F314C1">
        <w:rPr>
          <w:rFonts w:asciiTheme="minorHAnsi" w:hAnsiTheme="minorHAnsi"/>
          <w:sz w:val="24"/>
          <w:szCs w:val="24"/>
        </w:rPr>
        <w:t xml:space="preserve">. Given, </w:t>
      </w:r>
      <w:r w:rsidR="00AB06F4" w:rsidRPr="00F314C1">
        <w:rPr>
          <w:rFonts w:asciiTheme="minorHAnsi" w:hAnsiTheme="minorHAnsi"/>
          <w:sz w:val="24"/>
          <w:szCs w:val="24"/>
        </w:rPr>
        <w:t xml:space="preserve">the </w:t>
      </w:r>
      <w:r w:rsidR="00632382" w:rsidRPr="00F314C1">
        <w:rPr>
          <w:rFonts w:asciiTheme="minorHAnsi" w:hAnsiTheme="minorHAnsi"/>
          <w:sz w:val="24"/>
          <w:szCs w:val="24"/>
        </w:rPr>
        <w:t xml:space="preserve">unique </w:t>
      </w:r>
      <w:r w:rsidR="003846C6" w:rsidRPr="00F314C1">
        <w:rPr>
          <w:rFonts w:asciiTheme="minorHAnsi" w:hAnsiTheme="minorHAnsi"/>
          <w:sz w:val="24"/>
          <w:szCs w:val="24"/>
        </w:rPr>
        <w:t>logistical</w:t>
      </w:r>
      <w:r w:rsidR="00AB06F4" w:rsidRPr="00F314C1">
        <w:rPr>
          <w:rFonts w:asciiTheme="minorHAnsi" w:hAnsiTheme="minorHAnsi"/>
          <w:sz w:val="24"/>
          <w:szCs w:val="24"/>
        </w:rPr>
        <w:t xml:space="preserve"> challenges of travel in Alaska, the state </w:t>
      </w:r>
      <w:r w:rsidRPr="00F314C1">
        <w:rPr>
          <w:rFonts w:asciiTheme="minorHAnsi" w:hAnsiTheme="minorHAnsi"/>
          <w:sz w:val="24"/>
          <w:szCs w:val="24"/>
        </w:rPr>
        <w:t xml:space="preserve">may </w:t>
      </w:r>
      <w:r w:rsidR="001725C4" w:rsidRPr="00F314C1">
        <w:rPr>
          <w:rFonts w:asciiTheme="minorHAnsi" w:hAnsiTheme="minorHAnsi"/>
          <w:sz w:val="24"/>
          <w:szCs w:val="24"/>
        </w:rPr>
        <w:t>want</w:t>
      </w:r>
      <w:r w:rsidRPr="00F314C1">
        <w:rPr>
          <w:rFonts w:asciiTheme="minorHAnsi" w:hAnsiTheme="minorHAnsi"/>
          <w:sz w:val="24"/>
          <w:szCs w:val="24"/>
        </w:rPr>
        <w:t xml:space="preserve"> to explore</w:t>
      </w:r>
      <w:r w:rsidR="00AB06F4" w:rsidRPr="00F314C1">
        <w:rPr>
          <w:rFonts w:asciiTheme="minorHAnsi" w:hAnsiTheme="minorHAnsi"/>
          <w:sz w:val="24"/>
          <w:szCs w:val="24"/>
        </w:rPr>
        <w:t xml:space="preserve"> strategies</w:t>
      </w:r>
      <w:r w:rsidR="00632382" w:rsidRPr="00F314C1">
        <w:rPr>
          <w:rFonts w:asciiTheme="minorHAnsi" w:hAnsiTheme="minorHAnsi"/>
          <w:sz w:val="24"/>
          <w:szCs w:val="24"/>
        </w:rPr>
        <w:t xml:space="preserve"> for capturing fish consumption data that require less</w:t>
      </w:r>
      <w:r w:rsidR="003846C6" w:rsidRPr="00F314C1">
        <w:rPr>
          <w:rFonts w:asciiTheme="minorHAnsi" w:hAnsiTheme="minorHAnsi"/>
          <w:sz w:val="24"/>
          <w:szCs w:val="24"/>
        </w:rPr>
        <w:t xml:space="preserve"> fiscal and human resources than</w:t>
      </w:r>
      <w:r w:rsidR="00632382" w:rsidRPr="00F314C1">
        <w:rPr>
          <w:rFonts w:asciiTheme="minorHAnsi" w:hAnsiTheme="minorHAnsi"/>
          <w:sz w:val="24"/>
          <w:szCs w:val="24"/>
        </w:rPr>
        <w:t xml:space="preserve"> a traditional dietary survey</w:t>
      </w:r>
      <w:r w:rsidR="003846C6" w:rsidRPr="00F314C1">
        <w:rPr>
          <w:rFonts w:asciiTheme="minorHAnsi" w:hAnsiTheme="minorHAnsi"/>
          <w:sz w:val="24"/>
          <w:szCs w:val="24"/>
        </w:rPr>
        <w:t xml:space="preserve"> effort</w:t>
      </w:r>
      <w:r w:rsidR="00632382" w:rsidRPr="00F314C1">
        <w:rPr>
          <w:rFonts w:asciiTheme="minorHAnsi" w:hAnsiTheme="minorHAnsi"/>
          <w:sz w:val="24"/>
          <w:szCs w:val="24"/>
        </w:rPr>
        <w:t>.</w:t>
      </w:r>
      <w:r w:rsidR="00AB06F4" w:rsidRPr="00F314C1">
        <w:rPr>
          <w:rFonts w:asciiTheme="minorHAnsi" w:hAnsiTheme="minorHAnsi"/>
          <w:sz w:val="24"/>
          <w:szCs w:val="24"/>
        </w:rPr>
        <w:t xml:space="preserve"> </w:t>
      </w:r>
      <w:r w:rsidR="00632382" w:rsidRPr="00F314C1">
        <w:rPr>
          <w:rFonts w:asciiTheme="minorHAnsi" w:hAnsiTheme="minorHAnsi"/>
          <w:sz w:val="24"/>
          <w:szCs w:val="24"/>
        </w:rPr>
        <w:t>One</w:t>
      </w:r>
      <w:r w:rsidR="00DB1DA1" w:rsidRPr="00F314C1">
        <w:rPr>
          <w:rFonts w:asciiTheme="minorHAnsi" w:hAnsiTheme="minorHAnsi"/>
          <w:sz w:val="24"/>
          <w:szCs w:val="24"/>
        </w:rPr>
        <w:t xml:space="preserve"> example </w:t>
      </w:r>
      <w:r w:rsidR="00632382" w:rsidRPr="00F314C1">
        <w:rPr>
          <w:rFonts w:asciiTheme="minorHAnsi" w:hAnsiTheme="minorHAnsi"/>
          <w:sz w:val="24"/>
          <w:szCs w:val="24"/>
        </w:rPr>
        <w:t xml:space="preserve">is </w:t>
      </w:r>
      <w:r w:rsidR="00AB06F4" w:rsidRPr="00F314C1">
        <w:rPr>
          <w:rFonts w:asciiTheme="minorHAnsi" w:hAnsiTheme="minorHAnsi"/>
          <w:sz w:val="24"/>
          <w:szCs w:val="24"/>
        </w:rPr>
        <w:t xml:space="preserve">a possible harvest-based consumption model </w:t>
      </w:r>
      <w:r w:rsidRPr="00F314C1">
        <w:rPr>
          <w:rFonts w:asciiTheme="minorHAnsi" w:hAnsiTheme="minorHAnsi"/>
          <w:sz w:val="24"/>
          <w:szCs w:val="24"/>
        </w:rPr>
        <w:t xml:space="preserve">that </w:t>
      </w:r>
      <w:r w:rsidR="00AB06F4" w:rsidRPr="00F314C1">
        <w:rPr>
          <w:rFonts w:asciiTheme="minorHAnsi" w:hAnsiTheme="minorHAnsi"/>
          <w:sz w:val="24"/>
          <w:szCs w:val="24"/>
        </w:rPr>
        <w:t>utilize</w:t>
      </w:r>
      <w:r w:rsidRPr="00F314C1">
        <w:rPr>
          <w:rFonts w:asciiTheme="minorHAnsi" w:hAnsiTheme="minorHAnsi"/>
          <w:sz w:val="24"/>
          <w:szCs w:val="24"/>
        </w:rPr>
        <w:t>s</w:t>
      </w:r>
      <w:r w:rsidR="00AB06F4" w:rsidRPr="00F314C1">
        <w:rPr>
          <w:rFonts w:asciiTheme="minorHAnsi" w:hAnsiTheme="minorHAnsi"/>
          <w:sz w:val="24"/>
          <w:szCs w:val="24"/>
        </w:rPr>
        <w:t xml:space="preserve"> existing ADF</w:t>
      </w:r>
      <w:r w:rsidR="00233D11" w:rsidRPr="00F314C1">
        <w:rPr>
          <w:rFonts w:asciiTheme="minorHAnsi" w:hAnsiTheme="minorHAnsi"/>
          <w:sz w:val="24"/>
          <w:szCs w:val="24"/>
        </w:rPr>
        <w:t>&amp;</w:t>
      </w:r>
      <w:r w:rsidR="00AB06F4" w:rsidRPr="00F314C1">
        <w:rPr>
          <w:rFonts w:asciiTheme="minorHAnsi" w:hAnsiTheme="minorHAnsi"/>
          <w:sz w:val="24"/>
          <w:szCs w:val="24"/>
        </w:rPr>
        <w:t>G data collection ca</w:t>
      </w:r>
      <w:r w:rsidR="00DB6200" w:rsidRPr="00F314C1">
        <w:rPr>
          <w:rFonts w:asciiTheme="minorHAnsi" w:hAnsiTheme="minorHAnsi"/>
          <w:sz w:val="24"/>
          <w:szCs w:val="24"/>
        </w:rPr>
        <w:t>pabilities.</w:t>
      </w:r>
      <w:r w:rsidR="00AB06F4" w:rsidRPr="00F314C1">
        <w:rPr>
          <w:rFonts w:asciiTheme="minorHAnsi" w:hAnsiTheme="minorHAnsi"/>
          <w:sz w:val="24"/>
          <w:szCs w:val="24"/>
        </w:rPr>
        <w:t xml:space="preserve"> </w:t>
      </w:r>
    </w:p>
    <w:p w14:paraId="6498807B" w14:textId="5C9621BF" w:rsidR="00786C35" w:rsidRPr="00F314C1" w:rsidRDefault="00AB06F4" w:rsidP="00C379D4">
      <w:pPr>
        <w:jc w:val="both"/>
        <w:rPr>
          <w:rFonts w:asciiTheme="minorHAnsi" w:hAnsiTheme="minorHAnsi"/>
          <w:sz w:val="24"/>
          <w:szCs w:val="24"/>
        </w:rPr>
      </w:pPr>
      <w:r w:rsidRPr="00F314C1">
        <w:rPr>
          <w:rFonts w:asciiTheme="minorHAnsi" w:hAnsiTheme="minorHAnsi"/>
          <w:sz w:val="24"/>
          <w:szCs w:val="24"/>
        </w:rPr>
        <w:t>Another example of</w:t>
      </w:r>
      <w:r w:rsidR="006F09EB" w:rsidRPr="00F314C1">
        <w:rPr>
          <w:rFonts w:asciiTheme="minorHAnsi" w:hAnsiTheme="minorHAnsi"/>
          <w:sz w:val="24"/>
          <w:szCs w:val="24"/>
        </w:rPr>
        <w:t xml:space="preserve"> a potential modeling strategy </w:t>
      </w:r>
      <w:r w:rsidRPr="00F314C1">
        <w:rPr>
          <w:rFonts w:asciiTheme="minorHAnsi" w:hAnsiTheme="minorHAnsi"/>
          <w:sz w:val="24"/>
          <w:szCs w:val="24"/>
        </w:rPr>
        <w:t xml:space="preserve">is a statistical method </w:t>
      </w:r>
      <w:r w:rsidR="00C43508" w:rsidRPr="00F314C1">
        <w:rPr>
          <w:rFonts w:asciiTheme="minorHAnsi" w:hAnsiTheme="minorHAnsi"/>
          <w:sz w:val="24"/>
          <w:szCs w:val="24"/>
        </w:rPr>
        <w:t xml:space="preserve">developed by </w:t>
      </w:r>
      <w:r w:rsidR="00DB1DA1" w:rsidRPr="00F314C1">
        <w:rPr>
          <w:rFonts w:asciiTheme="minorHAnsi" w:hAnsiTheme="minorHAnsi"/>
          <w:sz w:val="24"/>
          <w:szCs w:val="24"/>
        </w:rPr>
        <w:t xml:space="preserve">the </w:t>
      </w:r>
      <w:r w:rsidRPr="00F314C1">
        <w:rPr>
          <w:rFonts w:asciiTheme="minorHAnsi" w:hAnsiTheme="minorHAnsi"/>
          <w:sz w:val="24"/>
          <w:szCs w:val="24"/>
        </w:rPr>
        <w:t xml:space="preserve">National Cancer Institute that uses information from two 24-hour dietary recalls to estimate usual intake of episodically-consumed foods. The method accommodates the large number of non-consumption days that arise with foods by separating the probability of consumption from the consumption-day amount, using a two-part model. Covariates, such as sex, age, race, </w:t>
      </w:r>
      <w:r w:rsidR="00C43508" w:rsidRPr="00F314C1">
        <w:rPr>
          <w:rFonts w:asciiTheme="minorHAnsi" w:hAnsiTheme="minorHAnsi"/>
          <w:sz w:val="24"/>
          <w:szCs w:val="24"/>
        </w:rPr>
        <w:t xml:space="preserve">and </w:t>
      </w:r>
      <w:r w:rsidRPr="00F314C1">
        <w:rPr>
          <w:rFonts w:asciiTheme="minorHAnsi" w:hAnsiTheme="minorHAnsi"/>
          <w:sz w:val="24"/>
          <w:szCs w:val="24"/>
        </w:rPr>
        <w:t xml:space="preserve">information from a FFQ, may </w:t>
      </w:r>
      <w:r w:rsidR="00DB1DA1" w:rsidRPr="00F314C1">
        <w:rPr>
          <w:rFonts w:asciiTheme="minorHAnsi" w:hAnsiTheme="minorHAnsi"/>
          <w:sz w:val="24"/>
          <w:szCs w:val="24"/>
        </w:rPr>
        <w:t xml:space="preserve">be used to </w:t>
      </w:r>
      <w:r w:rsidRPr="00F314C1">
        <w:rPr>
          <w:rFonts w:asciiTheme="minorHAnsi" w:hAnsiTheme="minorHAnsi"/>
          <w:sz w:val="24"/>
          <w:szCs w:val="24"/>
        </w:rPr>
        <w:t>supplement the in</w:t>
      </w:r>
      <w:r w:rsidR="00DB6200" w:rsidRPr="00F314C1">
        <w:rPr>
          <w:rFonts w:asciiTheme="minorHAnsi" w:hAnsiTheme="minorHAnsi"/>
          <w:sz w:val="24"/>
          <w:szCs w:val="24"/>
        </w:rPr>
        <w:t>formation from two or more 24-hour recalls</w:t>
      </w:r>
      <w:r w:rsidRPr="00F314C1">
        <w:rPr>
          <w:rFonts w:asciiTheme="minorHAnsi" w:hAnsiTheme="minorHAnsi"/>
          <w:sz w:val="24"/>
          <w:szCs w:val="24"/>
        </w:rPr>
        <w:t xml:space="preserve"> using correlated mixed model regression. The model allows for correlation between the probability of consuming a food on a single day and the consumption-day amount. Percentiles of the distribution of usual intake are computed from the estimated model parameters (</w:t>
      </w:r>
      <w:proofErr w:type="spellStart"/>
      <w:r w:rsidRPr="00F314C1">
        <w:rPr>
          <w:rFonts w:asciiTheme="minorHAnsi" w:hAnsiTheme="minorHAnsi"/>
          <w:sz w:val="24"/>
          <w:szCs w:val="24"/>
        </w:rPr>
        <w:t>Tooze</w:t>
      </w:r>
      <w:proofErr w:type="spellEnd"/>
      <w:r w:rsidRPr="00F314C1">
        <w:rPr>
          <w:rFonts w:asciiTheme="minorHAnsi" w:hAnsiTheme="minorHAnsi"/>
          <w:sz w:val="24"/>
          <w:szCs w:val="24"/>
        </w:rPr>
        <w:t>, 2006).</w:t>
      </w:r>
      <w:r w:rsidR="00B348B5" w:rsidRPr="00F314C1">
        <w:rPr>
          <w:rFonts w:asciiTheme="minorHAnsi" w:hAnsiTheme="minorHAnsi"/>
          <w:sz w:val="24"/>
          <w:szCs w:val="24"/>
        </w:rPr>
        <w:t>The utilization of two 24-hour dietary recalls may serve to reduce the potential for bias that exists with use of FFQs</w:t>
      </w:r>
      <w:r w:rsidR="00610748" w:rsidRPr="00F314C1">
        <w:rPr>
          <w:rFonts w:asciiTheme="minorHAnsi" w:hAnsiTheme="minorHAnsi"/>
          <w:sz w:val="24"/>
          <w:szCs w:val="24"/>
        </w:rPr>
        <w:t xml:space="preserve"> alone</w:t>
      </w:r>
      <w:r w:rsidR="00E87952" w:rsidRPr="00F314C1">
        <w:rPr>
          <w:rFonts w:asciiTheme="minorHAnsi" w:hAnsiTheme="minorHAnsi"/>
          <w:sz w:val="24"/>
          <w:szCs w:val="24"/>
        </w:rPr>
        <w:t>;</w:t>
      </w:r>
      <w:r w:rsidR="00B348B5" w:rsidRPr="00F314C1">
        <w:rPr>
          <w:rFonts w:asciiTheme="minorHAnsi" w:hAnsiTheme="minorHAnsi"/>
          <w:sz w:val="24"/>
          <w:szCs w:val="24"/>
        </w:rPr>
        <w:t xml:space="preserve"> however</w:t>
      </w:r>
      <w:r w:rsidR="00610748" w:rsidRPr="00F314C1">
        <w:rPr>
          <w:rFonts w:asciiTheme="minorHAnsi" w:hAnsiTheme="minorHAnsi"/>
          <w:sz w:val="24"/>
          <w:szCs w:val="24"/>
        </w:rPr>
        <w:t>,</w:t>
      </w:r>
      <w:r w:rsidR="00B348B5" w:rsidRPr="00F314C1">
        <w:rPr>
          <w:rFonts w:asciiTheme="minorHAnsi" w:hAnsiTheme="minorHAnsi"/>
          <w:sz w:val="24"/>
          <w:szCs w:val="24"/>
        </w:rPr>
        <w:t xml:space="preserve"> conducting the recalls may involve significant resources to implement. The resulting model may also provide insight on consumption patterns in different regions of the state, and could be used to </w:t>
      </w:r>
      <w:r w:rsidR="00610748" w:rsidRPr="00F314C1">
        <w:rPr>
          <w:rFonts w:asciiTheme="minorHAnsi" w:hAnsiTheme="minorHAnsi"/>
          <w:sz w:val="24"/>
          <w:szCs w:val="24"/>
        </w:rPr>
        <w:t>evaluate seasonal fluctuations in fish consumption.</w:t>
      </w:r>
    </w:p>
    <w:p w14:paraId="55D16CBF" w14:textId="4ABA813A" w:rsidR="00610748" w:rsidRPr="00F314C1" w:rsidRDefault="00610748" w:rsidP="00C379D4">
      <w:pPr>
        <w:jc w:val="both"/>
        <w:rPr>
          <w:rFonts w:asciiTheme="minorHAnsi" w:hAnsiTheme="minorHAnsi"/>
          <w:sz w:val="24"/>
          <w:szCs w:val="24"/>
        </w:rPr>
      </w:pPr>
    </w:p>
    <w:p w14:paraId="3E1F32C7" w14:textId="022FC9D3" w:rsidR="00632382" w:rsidRPr="00F314C1" w:rsidRDefault="00A34949" w:rsidP="00C379D4">
      <w:pPr>
        <w:jc w:val="both"/>
        <w:rPr>
          <w:rFonts w:asciiTheme="minorHAnsi" w:hAnsiTheme="minorHAnsi"/>
          <w:sz w:val="24"/>
          <w:szCs w:val="24"/>
        </w:rPr>
      </w:pPr>
      <w:r w:rsidRPr="00F314C1">
        <w:rPr>
          <w:rFonts w:asciiTheme="minorHAnsi" w:hAnsiTheme="minorHAnsi"/>
          <w:sz w:val="24"/>
          <w:szCs w:val="24"/>
        </w:rPr>
        <w:lastRenderedPageBreak/>
        <w:t xml:space="preserve">Finally, DEC </w:t>
      </w:r>
      <w:r w:rsidR="00D30AE4" w:rsidRPr="00F314C1">
        <w:rPr>
          <w:rFonts w:asciiTheme="minorHAnsi" w:hAnsiTheme="minorHAnsi"/>
          <w:sz w:val="24"/>
          <w:szCs w:val="24"/>
        </w:rPr>
        <w:t>c</w:t>
      </w:r>
      <w:r w:rsidRPr="00F314C1">
        <w:rPr>
          <w:rFonts w:asciiTheme="minorHAnsi" w:hAnsiTheme="minorHAnsi"/>
          <w:sz w:val="24"/>
          <w:szCs w:val="24"/>
        </w:rPr>
        <w:t xml:space="preserve">ould </w:t>
      </w:r>
      <w:r w:rsidR="001725C4" w:rsidRPr="00F314C1">
        <w:rPr>
          <w:rFonts w:asciiTheme="minorHAnsi" w:hAnsiTheme="minorHAnsi"/>
          <w:sz w:val="24"/>
          <w:szCs w:val="24"/>
        </w:rPr>
        <w:t xml:space="preserve">consider </w:t>
      </w:r>
      <w:r w:rsidRPr="00F314C1">
        <w:rPr>
          <w:rFonts w:asciiTheme="minorHAnsi" w:hAnsiTheme="minorHAnsi"/>
          <w:sz w:val="24"/>
          <w:szCs w:val="24"/>
        </w:rPr>
        <w:t>collaborat</w:t>
      </w:r>
      <w:r w:rsidR="001725C4" w:rsidRPr="00F314C1">
        <w:rPr>
          <w:rFonts w:asciiTheme="minorHAnsi" w:hAnsiTheme="minorHAnsi"/>
          <w:sz w:val="24"/>
          <w:szCs w:val="24"/>
        </w:rPr>
        <w:t>ing</w:t>
      </w:r>
      <w:r w:rsidRPr="00F314C1">
        <w:rPr>
          <w:rFonts w:asciiTheme="minorHAnsi" w:hAnsiTheme="minorHAnsi"/>
          <w:sz w:val="24"/>
          <w:szCs w:val="24"/>
        </w:rPr>
        <w:t xml:space="preserve"> with </w:t>
      </w:r>
      <w:r w:rsidR="00632382" w:rsidRPr="00F314C1">
        <w:rPr>
          <w:rFonts w:asciiTheme="minorHAnsi" w:hAnsiTheme="minorHAnsi"/>
          <w:sz w:val="24"/>
          <w:szCs w:val="24"/>
        </w:rPr>
        <w:t xml:space="preserve">stakeholders on </w:t>
      </w:r>
      <w:r w:rsidRPr="00F314C1">
        <w:rPr>
          <w:rFonts w:asciiTheme="minorHAnsi" w:hAnsiTheme="minorHAnsi"/>
          <w:sz w:val="24"/>
          <w:szCs w:val="24"/>
        </w:rPr>
        <w:t xml:space="preserve">the development of </w:t>
      </w:r>
      <w:r w:rsidR="00632382" w:rsidRPr="00F314C1">
        <w:rPr>
          <w:rFonts w:asciiTheme="minorHAnsi" w:hAnsiTheme="minorHAnsi"/>
          <w:sz w:val="24"/>
          <w:szCs w:val="24"/>
        </w:rPr>
        <w:t xml:space="preserve">a standardized dietary questionnaire and survey methodology to ensure that the results of </w:t>
      </w:r>
      <w:r w:rsidRPr="00F314C1">
        <w:rPr>
          <w:rFonts w:asciiTheme="minorHAnsi" w:hAnsiTheme="minorHAnsi"/>
          <w:sz w:val="24"/>
          <w:szCs w:val="24"/>
        </w:rPr>
        <w:t xml:space="preserve">any potential future </w:t>
      </w:r>
      <w:r w:rsidR="00632382" w:rsidRPr="00F314C1">
        <w:rPr>
          <w:rFonts w:asciiTheme="minorHAnsi" w:hAnsiTheme="minorHAnsi"/>
          <w:sz w:val="24"/>
          <w:szCs w:val="24"/>
        </w:rPr>
        <w:t xml:space="preserve">studies are comparable and capture all of the information needed to support the development of </w:t>
      </w:r>
      <w:r w:rsidR="007F6D08" w:rsidRPr="00F314C1">
        <w:rPr>
          <w:rFonts w:asciiTheme="minorHAnsi" w:hAnsiTheme="minorHAnsi"/>
          <w:sz w:val="24"/>
          <w:szCs w:val="24"/>
        </w:rPr>
        <w:t>FCR</w:t>
      </w:r>
      <w:r w:rsidR="00632382" w:rsidRPr="00F314C1">
        <w:rPr>
          <w:rFonts w:asciiTheme="minorHAnsi" w:hAnsiTheme="minorHAnsi"/>
          <w:sz w:val="24"/>
          <w:szCs w:val="24"/>
        </w:rPr>
        <w:t>s for Alaska. Doing so w</w:t>
      </w:r>
      <w:r w:rsidR="003846C6" w:rsidRPr="00F314C1">
        <w:rPr>
          <w:rFonts w:asciiTheme="minorHAnsi" w:hAnsiTheme="minorHAnsi"/>
          <w:sz w:val="24"/>
          <w:szCs w:val="24"/>
        </w:rPr>
        <w:t xml:space="preserve">ill help ensure that resources applied to </w:t>
      </w:r>
      <w:r w:rsidR="00632382" w:rsidRPr="00F314C1">
        <w:rPr>
          <w:rFonts w:asciiTheme="minorHAnsi" w:hAnsiTheme="minorHAnsi"/>
          <w:sz w:val="24"/>
          <w:szCs w:val="24"/>
        </w:rPr>
        <w:t>these efforts result in a reliable and relevant source of data.</w:t>
      </w:r>
    </w:p>
    <w:p w14:paraId="6498807E" w14:textId="77777777" w:rsidR="00F069F4" w:rsidRPr="00F314C1" w:rsidRDefault="00F069F4">
      <w:pPr>
        <w:spacing w:before="0" w:line="276" w:lineRule="auto"/>
        <w:rPr>
          <w:b/>
          <w:sz w:val="24"/>
          <w:szCs w:val="24"/>
        </w:rPr>
      </w:pPr>
      <w:r w:rsidRPr="00F314C1">
        <w:rPr>
          <w:sz w:val="24"/>
          <w:szCs w:val="24"/>
        </w:rPr>
        <w:br w:type="page"/>
      </w:r>
    </w:p>
    <w:p w14:paraId="6498807F" w14:textId="77777777" w:rsidR="000D1CAE" w:rsidRPr="00F314C1" w:rsidRDefault="000D1CAE" w:rsidP="00C51C9C">
      <w:pPr>
        <w:pStyle w:val="SectionHeader"/>
        <w:rPr>
          <w:sz w:val="24"/>
          <w:szCs w:val="24"/>
        </w:rPr>
      </w:pPr>
      <w:bookmarkStart w:id="64" w:name="_Toc390121674"/>
      <w:bookmarkStart w:id="65" w:name="_Toc390121740"/>
      <w:bookmarkStart w:id="66" w:name="_Toc390121875"/>
      <w:bookmarkStart w:id="67" w:name="_Toc391035981"/>
      <w:r w:rsidRPr="00F314C1">
        <w:rPr>
          <w:sz w:val="24"/>
          <w:szCs w:val="24"/>
        </w:rPr>
        <w:lastRenderedPageBreak/>
        <w:t>Resources</w:t>
      </w:r>
      <w:bookmarkEnd w:id="64"/>
      <w:bookmarkEnd w:id="65"/>
      <w:bookmarkEnd w:id="66"/>
      <w:bookmarkEnd w:id="67"/>
    </w:p>
    <w:p w14:paraId="64988080" w14:textId="77777777" w:rsidR="003D0618" w:rsidRPr="00F314C1" w:rsidRDefault="003D0618" w:rsidP="00F069F4">
      <w:pPr>
        <w:ind w:left="720" w:hanging="720"/>
        <w:rPr>
          <w:rFonts w:asciiTheme="minorHAnsi" w:hAnsiTheme="minorHAnsi"/>
          <w:sz w:val="24"/>
          <w:szCs w:val="24"/>
        </w:rPr>
      </w:pPr>
      <w:r w:rsidRPr="00F314C1">
        <w:rPr>
          <w:rFonts w:asciiTheme="minorHAnsi" w:hAnsiTheme="minorHAnsi"/>
          <w:sz w:val="24"/>
          <w:szCs w:val="24"/>
        </w:rPr>
        <w:t xml:space="preserve">Alaska Department of Environmental Conservation (ADEC), Division of Water Quality Standards. (2011). 2011-2013 Triennial Review: Fact Sheet – Human Health Criteria for Consumption of Fish and Water. Accessed online at: </w:t>
      </w:r>
      <w:hyperlink r:id="rId21" w:history="1">
        <w:r w:rsidR="00DB32C6" w:rsidRPr="00F314C1">
          <w:rPr>
            <w:rStyle w:val="Hyperlink"/>
            <w:rFonts w:asciiTheme="minorHAnsi" w:hAnsiTheme="minorHAnsi"/>
            <w:sz w:val="24"/>
            <w:szCs w:val="24"/>
          </w:rPr>
          <w:t>http://dec.alaska.gov/water/wqsar/trireview/pdfs/fishconsumption_11-29-2011.pdf</w:t>
        </w:r>
      </w:hyperlink>
    </w:p>
    <w:p w14:paraId="64988081" w14:textId="18C72C9A" w:rsidR="00DB32C6" w:rsidRPr="00F314C1" w:rsidRDefault="00DB32C6" w:rsidP="00DB32C6">
      <w:pPr>
        <w:spacing w:before="0" w:line="276" w:lineRule="auto"/>
        <w:ind w:left="720" w:hanging="720"/>
        <w:rPr>
          <w:rFonts w:asciiTheme="minorHAnsi" w:hAnsiTheme="minorHAnsi"/>
          <w:sz w:val="24"/>
          <w:szCs w:val="24"/>
        </w:rPr>
      </w:pPr>
      <w:r w:rsidRPr="00F314C1">
        <w:rPr>
          <w:rFonts w:asciiTheme="minorHAnsi" w:hAnsiTheme="minorHAnsi"/>
          <w:sz w:val="24"/>
          <w:szCs w:val="24"/>
        </w:rPr>
        <w:t xml:space="preserve">Alaska Department of Environmental Conservation. 2005. ADEC Fish Monitoring Project: Average Heavy Metal Concentration. Alaska Fish Tissue Testing Program. Available </w:t>
      </w:r>
      <w:proofErr w:type="gramStart"/>
      <w:r w:rsidRPr="00F314C1">
        <w:rPr>
          <w:rFonts w:asciiTheme="minorHAnsi" w:hAnsiTheme="minorHAnsi"/>
          <w:sz w:val="24"/>
          <w:szCs w:val="24"/>
        </w:rPr>
        <w:t xml:space="preserve">at  </w:t>
      </w:r>
      <w:proofErr w:type="gramEnd"/>
      <w:r w:rsidR="0030235A">
        <w:fldChar w:fldCharType="begin"/>
      </w:r>
      <w:r w:rsidR="0030235A">
        <w:instrText xml:space="preserve"> HYPERLINK "http://www.dec.state.ak.us/eh/vet/heavy_metals.htm.%20Last%20accessed%2</w:instrText>
      </w:r>
      <w:r w:rsidR="0030235A">
        <w:instrText xml:space="preserve">023%20June%202005." </w:instrText>
      </w:r>
      <w:r w:rsidR="0030235A">
        <w:fldChar w:fldCharType="separate"/>
      </w:r>
      <w:r w:rsidR="00257222" w:rsidRPr="00F314C1">
        <w:rPr>
          <w:rStyle w:val="Hyperlink"/>
          <w:rFonts w:asciiTheme="minorHAnsi" w:hAnsiTheme="minorHAnsi"/>
          <w:sz w:val="24"/>
          <w:szCs w:val="24"/>
        </w:rPr>
        <w:t>h</w:t>
      </w:r>
      <w:r w:rsidRPr="00F314C1">
        <w:rPr>
          <w:rStyle w:val="Hyperlink"/>
          <w:rFonts w:asciiTheme="minorHAnsi" w:hAnsiTheme="minorHAnsi"/>
          <w:sz w:val="24"/>
          <w:szCs w:val="24"/>
        </w:rPr>
        <w:t>ttp://www.dec.state.ak.us/eh/vet/heavy_metals.htm. Last accessed 23 June 2005.</w:t>
      </w:r>
      <w:r w:rsidR="0030235A">
        <w:rPr>
          <w:rStyle w:val="Hyperlink"/>
          <w:rFonts w:asciiTheme="minorHAnsi" w:hAnsiTheme="minorHAnsi"/>
          <w:sz w:val="24"/>
          <w:szCs w:val="24"/>
        </w:rPr>
        <w:fldChar w:fldCharType="end"/>
      </w:r>
    </w:p>
    <w:p w14:paraId="41896E24" w14:textId="3DA7E912" w:rsidR="00257222" w:rsidRPr="00F314C1" w:rsidRDefault="00257222" w:rsidP="00F069F4">
      <w:pPr>
        <w:ind w:left="720" w:hanging="720"/>
        <w:rPr>
          <w:rFonts w:asciiTheme="minorHAnsi" w:hAnsiTheme="minorHAnsi"/>
          <w:sz w:val="24"/>
          <w:szCs w:val="24"/>
        </w:rPr>
      </w:pPr>
      <w:r w:rsidRPr="00F314C1">
        <w:rPr>
          <w:rFonts w:asciiTheme="minorHAnsi" w:hAnsiTheme="minorHAnsi"/>
          <w:sz w:val="24"/>
          <w:szCs w:val="24"/>
        </w:rPr>
        <w:t>Alaska Department of Fish and Game (ADF&amp;G). (2014). Subsistence in Alaska: A Year 2012 Update. Division of Subsistence, Alaska Department of Fish and Game. Prepared by James A. Fall, February 2014. Original by Robert J. Wolfe, March 2000.</w:t>
      </w:r>
    </w:p>
    <w:p w14:paraId="6919880E" w14:textId="77777777" w:rsidR="00C801A3" w:rsidRPr="00F314C1" w:rsidRDefault="00C801A3" w:rsidP="00C801A3">
      <w:pPr>
        <w:ind w:left="720" w:hanging="720"/>
        <w:rPr>
          <w:rFonts w:asciiTheme="minorHAnsi" w:hAnsiTheme="minorHAnsi"/>
          <w:sz w:val="24"/>
          <w:szCs w:val="24"/>
        </w:rPr>
      </w:pPr>
      <w:r>
        <w:rPr>
          <w:rFonts w:asciiTheme="minorHAnsi" w:hAnsiTheme="minorHAnsi"/>
          <w:sz w:val="24"/>
          <w:szCs w:val="24"/>
        </w:rPr>
        <w:t xml:space="preserve">Alaska </w:t>
      </w:r>
      <w:r w:rsidRPr="00F314C1">
        <w:rPr>
          <w:rFonts w:asciiTheme="minorHAnsi" w:hAnsiTheme="minorHAnsi"/>
          <w:sz w:val="24"/>
          <w:szCs w:val="24"/>
        </w:rPr>
        <w:t>Department of Health and Human Services (DHSS), Division of Public Health, Section of Epidemiology, Environmental Public Health Program. (2014) Fish Facts and Consumption Guidelines. Accessed online at: http://www.epi.hss.state.ak.us/eh/fish/</w:t>
      </w:r>
    </w:p>
    <w:p w14:paraId="1385699D" w14:textId="77777777" w:rsidR="00C801A3" w:rsidRPr="00F314C1" w:rsidRDefault="00C801A3" w:rsidP="00C801A3">
      <w:pPr>
        <w:ind w:left="720" w:hanging="720"/>
        <w:rPr>
          <w:rFonts w:asciiTheme="minorHAnsi" w:hAnsiTheme="minorHAnsi"/>
          <w:sz w:val="24"/>
          <w:szCs w:val="24"/>
        </w:rPr>
      </w:pPr>
      <w:r>
        <w:rPr>
          <w:rFonts w:asciiTheme="minorHAnsi" w:hAnsiTheme="minorHAnsi"/>
          <w:sz w:val="24"/>
          <w:szCs w:val="24"/>
        </w:rPr>
        <w:t xml:space="preserve">Alaska </w:t>
      </w:r>
      <w:r w:rsidRPr="00F314C1">
        <w:rPr>
          <w:rFonts w:asciiTheme="minorHAnsi" w:hAnsiTheme="minorHAnsi"/>
          <w:sz w:val="24"/>
          <w:szCs w:val="24"/>
        </w:rPr>
        <w:t xml:space="preserve">Department of Health and Human Services (DHSS), Division of Public Health, Section of Epidemiology, Environmental Public Health Program. (2013) Health Consultation - Exposure Investigation: Investigation into Potential Exposures to Mercury Vapor in Small-Scale and Recreational Mining- 2012. </w:t>
      </w:r>
    </w:p>
    <w:p w14:paraId="7CD7425B" w14:textId="0365FC88" w:rsidR="00C801A3" w:rsidRDefault="00C801A3" w:rsidP="00C801A3">
      <w:pPr>
        <w:ind w:left="720" w:hanging="720"/>
        <w:rPr>
          <w:rFonts w:asciiTheme="minorHAnsi" w:hAnsiTheme="minorHAnsi"/>
          <w:sz w:val="24"/>
          <w:szCs w:val="24"/>
        </w:rPr>
      </w:pPr>
      <w:r>
        <w:rPr>
          <w:rFonts w:asciiTheme="minorHAnsi" w:hAnsiTheme="minorHAnsi"/>
          <w:sz w:val="24"/>
          <w:szCs w:val="24"/>
        </w:rPr>
        <w:t xml:space="preserve">Alaska </w:t>
      </w:r>
      <w:r w:rsidRPr="00F314C1">
        <w:rPr>
          <w:rFonts w:asciiTheme="minorHAnsi" w:hAnsiTheme="minorHAnsi"/>
          <w:sz w:val="24"/>
          <w:szCs w:val="24"/>
        </w:rPr>
        <w:t>Department of Health and Social Services (DHSS). (2007). Fish Consumption Advice for Alaskans: A Risk Management Strategy to Optimize the Public’s Health. Section of Epidemiology, Division of Public Health, Department of Health and Human Services. State of Alaska Epidemiology Bulletin, Vol No. 11(4). October 15, 2007.</w:t>
      </w:r>
    </w:p>
    <w:p w14:paraId="64988082" w14:textId="77777777" w:rsidR="00EC2709" w:rsidRPr="00F314C1" w:rsidRDefault="00EC2709" w:rsidP="00F069F4">
      <w:pPr>
        <w:ind w:left="720" w:hanging="720"/>
        <w:rPr>
          <w:rFonts w:asciiTheme="minorHAnsi" w:hAnsiTheme="minorHAnsi"/>
          <w:sz w:val="24"/>
          <w:szCs w:val="24"/>
        </w:rPr>
      </w:pPr>
      <w:r w:rsidRPr="00F314C1">
        <w:rPr>
          <w:rFonts w:asciiTheme="minorHAnsi" w:hAnsiTheme="minorHAnsi"/>
          <w:sz w:val="24"/>
          <w:szCs w:val="24"/>
        </w:rPr>
        <w:t xml:space="preserve">Alaska Statues, Title 16 Fish and Game, Chapter 16.05 Fish and Game Code and Definitions. Accessed online at: </w:t>
      </w:r>
      <w:hyperlink r:id="rId22" w:anchor="16.05.094" w:history="1">
        <w:r w:rsidR="005C66DD" w:rsidRPr="00F314C1">
          <w:rPr>
            <w:rStyle w:val="Hyperlink"/>
            <w:rFonts w:asciiTheme="minorHAnsi" w:hAnsiTheme="minorHAnsi"/>
            <w:sz w:val="24"/>
            <w:szCs w:val="24"/>
          </w:rPr>
          <w:t>http://www.legis.state.ak.us/basis/statutes.asp#16.05.094</w:t>
        </w:r>
      </w:hyperlink>
    </w:p>
    <w:p w14:paraId="64988083" w14:textId="61A52D15" w:rsidR="00461C9D" w:rsidRPr="00F314C1" w:rsidRDefault="00461C9D" w:rsidP="00461C9D">
      <w:pPr>
        <w:ind w:left="720" w:hanging="720"/>
        <w:rPr>
          <w:rFonts w:asciiTheme="minorHAnsi" w:hAnsiTheme="minorHAnsi"/>
          <w:sz w:val="24"/>
          <w:szCs w:val="24"/>
        </w:rPr>
      </w:pPr>
      <w:r w:rsidRPr="00F314C1">
        <w:rPr>
          <w:rFonts w:asciiTheme="minorHAnsi" w:hAnsiTheme="minorHAnsi"/>
          <w:sz w:val="24"/>
          <w:szCs w:val="24"/>
        </w:rPr>
        <w:t xml:space="preserve">Agency for Toxic Substances and Disease Registry Site and Radiological Assessment Branch, Division of Health Assessment and Consultation. (2009) Evaluation of Seafood and Plant Data Collected from Cook Inlet near the Native Villages of Port Graham, </w:t>
      </w:r>
      <w:proofErr w:type="spellStart"/>
      <w:r w:rsidR="00F37FED">
        <w:rPr>
          <w:rFonts w:asciiTheme="minorHAnsi" w:hAnsiTheme="minorHAnsi"/>
          <w:sz w:val="24"/>
          <w:szCs w:val="24"/>
        </w:rPr>
        <w:t>Nanwalek</w:t>
      </w:r>
      <w:proofErr w:type="spellEnd"/>
      <w:r w:rsidRPr="00F314C1">
        <w:rPr>
          <w:rFonts w:asciiTheme="minorHAnsi" w:hAnsiTheme="minorHAnsi"/>
          <w:sz w:val="24"/>
          <w:szCs w:val="24"/>
        </w:rPr>
        <w:t xml:space="preserve">, </w:t>
      </w:r>
      <w:proofErr w:type="spellStart"/>
      <w:r w:rsidRPr="00F314C1">
        <w:rPr>
          <w:rFonts w:asciiTheme="minorHAnsi" w:hAnsiTheme="minorHAnsi"/>
          <w:sz w:val="24"/>
          <w:szCs w:val="24"/>
        </w:rPr>
        <w:t>Seldovia</w:t>
      </w:r>
      <w:proofErr w:type="spellEnd"/>
      <w:r w:rsidRPr="00F314C1">
        <w:rPr>
          <w:rFonts w:asciiTheme="minorHAnsi" w:hAnsiTheme="minorHAnsi"/>
          <w:sz w:val="24"/>
          <w:szCs w:val="24"/>
        </w:rPr>
        <w:t xml:space="preserve"> and </w:t>
      </w:r>
      <w:proofErr w:type="spellStart"/>
      <w:r w:rsidRPr="00F314C1">
        <w:rPr>
          <w:rFonts w:asciiTheme="minorHAnsi" w:hAnsiTheme="minorHAnsi"/>
          <w:sz w:val="24"/>
          <w:szCs w:val="24"/>
        </w:rPr>
        <w:t>Tyonek</w:t>
      </w:r>
      <w:proofErr w:type="spellEnd"/>
      <w:r w:rsidRPr="00F314C1">
        <w:rPr>
          <w:rFonts w:asciiTheme="minorHAnsi" w:hAnsiTheme="minorHAnsi"/>
          <w:sz w:val="24"/>
          <w:szCs w:val="24"/>
        </w:rPr>
        <w:t>, Alaska.</w:t>
      </w:r>
    </w:p>
    <w:p w14:paraId="64988084" w14:textId="11061B9D" w:rsidR="00461C9D" w:rsidRPr="00F314C1" w:rsidRDefault="00461C9D" w:rsidP="00461C9D">
      <w:pPr>
        <w:ind w:left="720" w:hanging="720"/>
        <w:rPr>
          <w:rFonts w:asciiTheme="minorHAnsi" w:hAnsiTheme="minorHAnsi"/>
          <w:sz w:val="24"/>
          <w:szCs w:val="24"/>
        </w:rPr>
      </w:pPr>
      <w:r w:rsidRPr="00F314C1">
        <w:rPr>
          <w:rFonts w:asciiTheme="minorHAnsi" w:hAnsiTheme="minorHAnsi"/>
          <w:sz w:val="24"/>
          <w:szCs w:val="24"/>
        </w:rPr>
        <w:t>Ballew, C., Ross, A., Wells, R.S., Hiratsuka, A.B., Hamrick, K.J., Nobmann, E.D. and Bartell, S. (2004). Final Report of the Alaska Traditional Diet Survey</w:t>
      </w:r>
      <w:r w:rsidR="001725C4" w:rsidRPr="00F314C1">
        <w:rPr>
          <w:rFonts w:asciiTheme="minorHAnsi" w:hAnsiTheme="minorHAnsi"/>
          <w:sz w:val="24"/>
          <w:szCs w:val="24"/>
        </w:rPr>
        <w:t xml:space="preserve">. </w:t>
      </w:r>
      <w:r w:rsidRPr="00F314C1">
        <w:rPr>
          <w:rFonts w:asciiTheme="minorHAnsi" w:hAnsiTheme="minorHAnsi"/>
          <w:sz w:val="24"/>
          <w:szCs w:val="24"/>
        </w:rPr>
        <w:t>Alaska Native Tribal Health Consortium Report.</w:t>
      </w:r>
    </w:p>
    <w:p w14:paraId="64988087" w14:textId="7A9591F8" w:rsidR="00DB32C6" w:rsidRPr="00F314C1" w:rsidRDefault="007241E7" w:rsidP="00C801A3">
      <w:pPr>
        <w:spacing w:line="240" w:lineRule="auto"/>
        <w:ind w:left="720" w:hanging="720"/>
        <w:rPr>
          <w:rFonts w:asciiTheme="minorHAnsi" w:hAnsiTheme="minorHAnsi"/>
          <w:sz w:val="24"/>
          <w:szCs w:val="24"/>
        </w:rPr>
      </w:pPr>
      <w:r w:rsidRPr="00F314C1">
        <w:rPr>
          <w:rFonts w:asciiTheme="minorHAnsi" w:hAnsiTheme="minorHAnsi"/>
          <w:sz w:val="24"/>
          <w:szCs w:val="24"/>
        </w:rPr>
        <w:t>Bartell, S.M., Nobmann</w:t>
      </w:r>
      <w:r w:rsidR="00DC16E2" w:rsidRPr="00F314C1">
        <w:rPr>
          <w:rFonts w:asciiTheme="minorHAnsi" w:hAnsiTheme="minorHAnsi"/>
          <w:sz w:val="24"/>
          <w:szCs w:val="24"/>
        </w:rPr>
        <w:t>, E.</w:t>
      </w:r>
      <w:r w:rsidRPr="00F314C1">
        <w:rPr>
          <w:rFonts w:asciiTheme="minorHAnsi" w:hAnsiTheme="minorHAnsi"/>
          <w:sz w:val="24"/>
          <w:szCs w:val="24"/>
        </w:rPr>
        <w:t>, and Ponce</w:t>
      </w:r>
      <w:r w:rsidR="00DC16E2" w:rsidRPr="00F314C1">
        <w:rPr>
          <w:rFonts w:asciiTheme="minorHAnsi" w:hAnsiTheme="minorHAnsi"/>
          <w:sz w:val="24"/>
          <w:szCs w:val="24"/>
        </w:rPr>
        <w:t>, R.A.</w:t>
      </w:r>
      <w:r w:rsidRPr="00F314C1">
        <w:rPr>
          <w:rFonts w:asciiTheme="minorHAnsi" w:hAnsiTheme="minorHAnsi"/>
          <w:sz w:val="24"/>
          <w:szCs w:val="24"/>
        </w:rPr>
        <w:t xml:space="preserve"> </w:t>
      </w:r>
      <w:r w:rsidR="00DC16E2" w:rsidRPr="00F314C1">
        <w:rPr>
          <w:rFonts w:asciiTheme="minorHAnsi" w:hAnsiTheme="minorHAnsi"/>
          <w:sz w:val="24"/>
          <w:szCs w:val="24"/>
        </w:rPr>
        <w:t>(</w:t>
      </w:r>
      <w:r w:rsidRPr="00F314C1">
        <w:rPr>
          <w:rFonts w:asciiTheme="minorHAnsi" w:hAnsiTheme="minorHAnsi"/>
          <w:sz w:val="24"/>
          <w:szCs w:val="24"/>
        </w:rPr>
        <w:t>1999</w:t>
      </w:r>
      <w:r w:rsidR="00DC16E2" w:rsidRPr="00F314C1">
        <w:rPr>
          <w:rFonts w:asciiTheme="minorHAnsi" w:hAnsiTheme="minorHAnsi"/>
          <w:sz w:val="24"/>
          <w:szCs w:val="24"/>
        </w:rPr>
        <w:t>)</w:t>
      </w:r>
      <w:r w:rsidRPr="00F314C1">
        <w:rPr>
          <w:rFonts w:asciiTheme="minorHAnsi" w:hAnsiTheme="minorHAnsi"/>
          <w:sz w:val="24"/>
          <w:szCs w:val="24"/>
        </w:rPr>
        <w:t xml:space="preserve">. What People Eat: Atka, Alaska, 1998–1999, Final Report, </w:t>
      </w:r>
      <w:proofErr w:type="gramStart"/>
      <w:r w:rsidRPr="00F314C1">
        <w:rPr>
          <w:rFonts w:asciiTheme="minorHAnsi" w:hAnsiTheme="minorHAnsi"/>
          <w:sz w:val="24"/>
          <w:szCs w:val="24"/>
        </w:rPr>
        <w:t>Project</w:t>
      </w:r>
      <w:proofErr w:type="gramEnd"/>
      <w:r w:rsidRPr="00F314C1">
        <w:rPr>
          <w:rFonts w:asciiTheme="minorHAnsi" w:hAnsiTheme="minorHAnsi"/>
          <w:sz w:val="24"/>
          <w:szCs w:val="24"/>
        </w:rPr>
        <w:t xml:space="preserve"> PF901329, submitted to University of Alaska and Aleutian/Pribilof Islands</w:t>
      </w:r>
      <w:r w:rsidR="00DB32C6" w:rsidRPr="00F314C1">
        <w:rPr>
          <w:rFonts w:asciiTheme="minorHAnsi" w:hAnsiTheme="minorHAnsi"/>
          <w:sz w:val="24"/>
          <w:szCs w:val="24"/>
        </w:rPr>
        <w:t xml:space="preserve"> </w:t>
      </w:r>
      <w:r w:rsidRPr="00F314C1">
        <w:rPr>
          <w:rFonts w:asciiTheme="minorHAnsi" w:hAnsiTheme="minorHAnsi"/>
          <w:sz w:val="24"/>
          <w:szCs w:val="24"/>
        </w:rPr>
        <w:t>Association, Inc., IDM Consulting, Anchorage, Alaska, December</w:t>
      </w:r>
      <w:r w:rsidR="00DB32C6" w:rsidRPr="00F314C1">
        <w:rPr>
          <w:rFonts w:asciiTheme="minorHAnsi" w:hAnsiTheme="minorHAnsi"/>
          <w:sz w:val="24"/>
          <w:szCs w:val="24"/>
        </w:rPr>
        <w:t>,</w:t>
      </w:r>
      <w:r w:rsidR="001725C4" w:rsidRPr="00F314C1">
        <w:rPr>
          <w:rFonts w:asciiTheme="minorHAnsi" w:hAnsiTheme="minorHAnsi"/>
          <w:sz w:val="24"/>
          <w:szCs w:val="24"/>
        </w:rPr>
        <w:t xml:space="preserve"> </w:t>
      </w:r>
      <w:r w:rsidR="00DB32C6" w:rsidRPr="00F314C1">
        <w:rPr>
          <w:rFonts w:asciiTheme="minorHAnsi" w:hAnsiTheme="minorHAnsi"/>
          <w:sz w:val="24"/>
          <w:szCs w:val="24"/>
        </w:rPr>
        <w:t xml:space="preserve">1999. </w:t>
      </w:r>
    </w:p>
    <w:p w14:paraId="6BD24B23" w14:textId="2F497139" w:rsidR="00A0241F" w:rsidRPr="00F314C1" w:rsidRDefault="00A0241F" w:rsidP="00DB32C6">
      <w:pPr>
        <w:ind w:left="720" w:hanging="720"/>
        <w:rPr>
          <w:rFonts w:asciiTheme="minorHAnsi" w:hAnsiTheme="minorHAnsi"/>
          <w:sz w:val="24"/>
          <w:szCs w:val="24"/>
        </w:rPr>
      </w:pPr>
      <w:r w:rsidRPr="00F314C1">
        <w:rPr>
          <w:rFonts w:asciiTheme="minorHAnsi" w:hAnsiTheme="minorHAnsi"/>
          <w:sz w:val="24"/>
          <w:szCs w:val="24"/>
        </w:rPr>
        <w:lastRenderedPageBreak/>
        <w:t xml:space="preserve">EPA. (2014a). Estimated Fish Consumption Rates for the U.S. Population and Selected Subpopulations (NHANES 2003-2010) Final Report. April 2014. EPA-820-R-14-002. Accessed online at: </w:t>
      </w:r>
      <w:hyperlink r:id="rId23" w:history="1">
        <w:r w:rsidRPr="00F314C1">
          <w:rPr>
            <w:rStyle w:val="Hyperlink"/>
            <w:rFonts w:asciiTheme="minorHAnsi" w:hAnsiTheme="minorHAnsi"/>
            <w:sz w:val="24"/>
            <w:szCs w:val="24"/>
          </w:rPr>
          <w:t>http://water.epa.gov/scitech/swguidance/fishshellfish/fishadvisories/upload/Estimated-Fish-Consumption-Rates-for-the-U-S-Population-and-Selected-Subpopulations-NHANES-2003-2010.pdf</w:t>
        </w:r>
      </w:hyperlink>
    </w:p>
    <w:p w14:paraId="64988088" w14:textId="1E82F486" w:rsidR="00DB32C6" w:rsidRPr="00F314C1" w:rsidRDefault="00DB32C6" w:rsidP="00DB32C6">
      <w:pPr>
        <w:ind w:left="720" w:hanging="720"/>
        <w:rPr>
          <w:rStyle w:val="Hyperlink"/>
          <w:rFonts w:asciiTheme="minorHAnsi" w:hAnsiTheme="minorHAnsi"/>
          <w:sz w:val="24"/>
          <w:szCs w:val="24"/>
        </w:rPr>
      </w:pPr>
      <w:r w:rsidRPr="00F314C1">
        <w:rPr>
          <w:rFonts w:asciiTheme="minorHAnsi" w:hAnsiTheme="minorHAnsi"/>
          <w:sz w:val="24"/>
          <w:szCs w:val="24"/>
        </w:rPr>
        <w:t>EPA. (2014</w:t>
      </w:r>
      <w:r w:rsidR="00A0241F" w:rsidRPr="00F314C1">
        <w:rPr>
          <w:rFonts w:asciiTheme="minorHAnsi" w:hAnsiTheme="minorHAnsi"/>
          <w:sz w:val="24"/>
          <w:szCs w:val="24"/>
        </w:rPr>
        <w:t>b</w:t>
      </w:r>
      <w:r w:rsidRPr="00F314C1">
        <w:rPr>
          <w:rFonts w:asciiTheme="minorHAnsi" w:hAnsiTheme="minorHAnsi"/>
          <w:sz w:val="24"/>
          <w:szCs w:val="24"/>
        </w:rPr>
        <w:t xml:space="preserve">). </w:t>
      </w:r>
      <w:r w:rsidR="00C25D73" w:rsidRPr="00F314C1">
        <w:rPr>
          <w:rFonts w:asciiTheme="minorHAnsi" w:hAnsiTheme="minorHAnsi"/>
          <w:sz w:val="24"/>
          <w:szCs w:val="24"/>
        </w:rPr>
        <w:t>DRAFT: Updated National Recommended Water Criteria – Human Health.</w:t>
      </w:r>
      <w:r w:rsidRPr="00F314C1">
        <w:rPr>
          <w:rFonts w:asciiTheme="minorHAnsi" w:hAnsiTheme="minorHAnsi"/>
          <w:sz w:val="24"/>
          <w:szCs w:val="24"/>
        </w:rPr>
        <w:t xml:space="preserve"> </w:t>
      </w:r>
      <w:r w:rsidR="00C25D73" w:rsidRPr="00F314C1">
        <w:rPr>
          <w:rFonts w:asciiTheme="minorHAnsi" w:hAnsiTheme="minorHAnsi"/>
          <w:sz w:val="24"/>
          <w:szCs w:val="24"/>
        </w:rPr>
        <w:t xml:space="preserve">May 21, 2014. </w:t>
      </w:r>
      <w:r w:rsidRPr="00F314C1">
        <w:rPr>
          <w:rFonts w:asciiTheme="minorHAnsi" w:hAnsiTheme="minorHAnsi"/>
          <w:sz w:val="24"/>
          <w:szCs w:val="24"/>
        </w:rPr>
        <w:t xml:space="preserve">Accessed online at: </w:t>
      </w:r>
      <w:r w:rsidR="00C25D73" w:rsidRPr="00F314C1">
        <w:rPr>
          <w:rStyle w:val="Hyperlink"/>
          <w:rFonts w:asciiTheme="minorHAnsi" w:hAnsiTheme="minorHAnsi"/>
          <w:sz w:val="24"/>
          <w:szCs w:val="24"/>
        </w:rPr>
        <w:t>http://water.epa.gov/scitech/swguidance/standards/criteria/current/hhdraft.cfm</w:t>
      </w:r>
    </w:p>
    <w:p w14:paraId="64988089" w14:textId="77777777" w:rsidR="00DB32C6" w:rsidRPr="00F314C1" w:rsidRDefault="00DB32C6" w:rsidP="005A4ADF">
      <w:pPr>
        <w:keepNext/>
        <w:ind w:left="720" w:hanging="720"/>
        <w:rPr>
          <w:rFonts w:asciiTheme="minorHAnsi" w:hAnsiTheme="minorHAnsi"/>
          <w:sz w:val="24"/>
          <w:szCs w:val="24"/>
        </w:rPr>
      </w:pPr>
      <w:r w:rsidRPr="00F314C1">
        <w:rPr>
          <w:rFonts w:asciiTheme="minorHAnsi" w:hAnsiTheme="minorHAnsi"/>
          <w:sz w:val="24"/>
          <w:szCs w:val="24"/>
        </w:rPr>
        <w:t xml:space="preserve">EPA. (2013). Human Health Ambient Water Quality Criteria and Fish Consumption Rates Frequently Asked Questions. Accessed online at: </w:t>
      </w:r>
      <w:hyperlink r:id="rId24" w:history="1">
        <w:r w:rsidRPr="00F314C1">
          <w:rPr>
            <w:rStyle w:val="Hyperlink"/>
            <w:rFonts w:asciiTheme="minorHAnsi" w:hAnsiTheme="minorHAnsi"/>
            <w:sz w:val="24"/>
            <w:szCs w:val="24"/>
          </w:rPr>
          <w:t>http://water.epa.gov/scitech/swguidance/standards/criteria/health/methodology/upload/hhfaqs.pdf</w:t>
        </w:r>
      </w:hyperlink>
    </w:p>
    <w:p w14:paraId="4D33E703" w14:textId="5FC44D07" w:rsidR="006F565C" w:rsidRPr="00F314C1" w:rsidRDefault="006F565C" w:rsidP="00DB32C6">
      <w:pPr>
        <w:ind w:left="720" w:hanging="720"/>
        <w:rPr>
          <w:rFonts w:asciiTheme="minorHAnsi" w:hAnsiTheme="minorHAnsi"/>
          <w:sz w:val="24"/>
          <w:szCs w:val="24"/>
        </w:rPr>
      </w:pPr>
      <w:r w:rsidRPr="00F314C1">
        <w:rPr>
          <w:rFonts w:asciiTheme="minorHAnsi" w:hAnsiTheme="minorHAnsi"/>
          <w:sz w:val="24"/>
          <w:szCs w:val="24"/>
        </w:rPr>
        <w:t xml:space="preserve">EPA. (2012). </w:t>
      </w:r>
      <w:r w:rsidRPr="00F314C1">
        <w:rPr>
          <w:rFonts w:asciiTheme="minorHAnsi" w:hAnsiTheme="minorHAnsi"/>
          <w:i/>
          <w:sz w:val="24"/>
          <w:szCs w:val="24"/>
        </w:rPr>
        <w:t xml:space="preserve">Persistent Organic Pollutants: A Global Issue, </w:t>
      </w:r>
      <w:proofErr w:type="gramStart"/>
      <w:r w:rsidRPr="00F314C1">
        <w:rPr>
          <w:rFonts w:asciiTheme="minorHAnsi" w:hAnsiTheme="minorHAnsi"/>
          <w:i/>
          <w:sz w:val="24"/>
          <w:szCs w:val="24"/>
        </w:rPr>
        <w:t>A</w:t>
      </w:r>
      <w:proofErr w:type="gramEnd"/>
      <w:r w:rsidRPr="00F314C1">
        <w:rPr>
          <w:rFonts w:asciiTheme="minorHAnsi" w:hAnsiTheme="minorHAnsi"/>
          <w:i/>
          <w:sz w:val="24"/>
          <w:szCs w:val="24"/>
        </w:rPr>
        <w:t xml:space="preserve"> Global Response. </w:t>
      </w:r>
      <w:r w:rsidRPr="00F314C1">
        <w:rPr>
          <w:rFonts w:asciiTheme="minorHAnsi" w:hAnsiTheme="minorHAnsi"/>
          <w:sz w:val="24"/>
          <w:szCs w:val="24"/>
        </w:rPr>
        <w:t>U.S. Environmental Protection Agency – International Programs</w:t>
      </w:r>
      <w:r w:rsidR="001725C4" w:rsidRPr="00F314C1">
        <w:rPr>
          <w:rFonts w:asciiTheme="minorHAnsi" w:hAnsiTheme="minorHAnsi"/>
          <w:sz w:val="24"/>
          <w:szCs w:val="24"/>
        </w:rPr>
        <w:t xml:space="preserve">. </w:t>
      </w:r>
      <w:r w:rsidRPr="00F314C1">
        <w:rPr>
          <w:rFonts w:asciiTheme="minorHAnsi" w:hAnsiTheme="minorHAnsi"/>
          <w:sz w:val="24"/>
          <w:szCs w:val="24"/>
        </w:rPr>
        <w:t xml:space="preserve">July 30, 2012. Web. June, 2014. Accessed online at: </w:t>
      </w:r>
      <w:hyperlink r:id="rId25" w:anchor="pops" w:history="1">
        <w:r w:rsidRPr="00F314C1">
          <w:rPr>
            <w:rStyle w:val="Hyperlink"/>
            <w:rFonts w:asciiTheme="minorHAnsi" w:hAnsiTheme="minorHAnsi"/>
            <w:sz w:val="24"/>
            <w:szCs w:val="24"/>
          </w:rPr>
          <w:t>http://www.epa.gov/oia/toxics/pop.html#pops</w:t>
        </w:r>
      </w:hyperlink>
    </w:p>
    <w:p w14:paraId="6498808A" w14:textId="64A15B58" w:rsidR="00DB32C6" w:rsidRPr="00F314C1" w:rsidRDefault="00DB32C6" w:rsidP="00DB32C6">
      <w:pPr>
        <w:ind w:left="720" w:hanging="720"/>
        <w:rPr>
          <w:rFonts w:asciiTheme="minorHAnsi" w:hAnsiTheme="minorHAnsi"/>
          <w:sz w:val="24"/>
          <w:szCs w:val="24"/>
        </w:rPr>
      </w:pPr>
      <w:r w:rsidRPr="00F314C1">
        <w:rPr>
          <w:rFonts w:asciiTheme="minorHAnsi" w:hAnsiTheme="minorHAnsi"/>
          <w:sz w:val="24"/>
          <w:szCs w:val="24"/>
        </w:rPr>
        <w:t>EPA. (2011) Technical Support Document for Action on the State of Oregon’s New and Revised Human Health Water Quality Criteria for Toxics and Associated Implementation Provisions Submitted July 12 and 21, 2011. Washington, DC:</w:t>
      </w:r>
      <w:r w:rsidR="00DC16E2" w:rsidRPr="00F314C1">
        <w:rPr>
          <w:rFonts w:asciiTheme="minorHAnsi" w:hAnsiTheme="minorHAnsi"/>
          <w:sz w:val="24"/>
          <w:szCs w:val="24"/>
        </w:rPr>
        <w:t xml:space="preserve"> </w:t>
      </w:r>
      <w:r w:rsidRPr="00F314C1">
        <w:rPr>
          <w:rFonts w:asciiTheme="minorHAnsi" w:hAnsiTheme="minorHAnsi"/>
          <w:sz w:val="24"/>
          <w:szCs w:val="24"/>
        </w:rPr>
        <w:t xml:space="preserve">U.S. Environmental Protection Agency (17 October 2011). Accessed online at: </w:t>
      </w:r>
      <w:hyperlink r:id="rId26" w:history="1">
        <w:r w:rsidRPr="00F314C1">
          <w:rPr>
            <w:rStyle w:val="Hyperlink"/>
            <w:rFonts w:asciiTheme="minorHAnsi" w:hAnsiTheme="minorHAnsi"/>
            <w:sz w:val="24"/>
            <w:szCs w:val="24"/>
          </w:rPr>
          <w:t>http://goo.gl/9nP7dV</w:t>
        </w:r>
      </w:hyperlink>
      <w:r w:rsidRPr="00F314C1">
        <w:rPr>
          <w:rFonts w:asciiTheme="minorHAnsi" w:hAnsiTheme="minorHAnsi"/>
          <w:sz w:val="24"/>
          <w:szCs w:val="24"/>
        </w:rPr>
        <w:t xml:space="preserve"> </w:t>
      </w:r>
    </w:p>
    <w:p w14:paraId="6498808B" w14:textId="177296F2" w:rsidR="00DB32C6" w:rsidRPr="00F314C1" w:rsidRDefault="00DB32C6" w:rsidP="00DB32C6">
      <w:pPr>
        <w:ind w:left="720" w:hanging="720"/>
        <w:rPr>
          <w:rStyle w:val="Hyperlink"/>
          <w:rFonts w:asciiTheme="minorHAnsi" w:hAnsiTheme="minorHAnsi"/>
          <w:sz w:val="24"/>
          <w:szCs w:val="24"/>
        </w:rPr>
      </w:pPr>
      <w:r w:rsidRPr="00F314C1">
        <w:rPr>
          <w:rFonts w:asciiTheme="minorHAnsi" w:hAnsiTheme="minorHAnsi"/>
          <w:sz w:val="24"/>
          <w:szCs w:val="24"/>
        </w:rPr>
        <w:t>EPA. (2000</w:t>
      </w:r>
      <w:r w:rsidR="00465BAA" w:rsidRPr="00F314C1">
        <w:rPr>
          <w:rFonts w:asciiTheme="minorHAnsi" w:hAnsiTheme="minorHAnsi"/>
          <w:sz w:val="24"/>
          <w:szCs w:val="24"/>
        </w:rPr>
        <w:t>a</w:t>
      </w:r>
      <w:r w:rsidRPr="00F314C1">
        <w:rPr>
          <w:rFonts w:asciiTheme="minorHAnsi" w:hAnsiTheme="minorHAnsi"/>
          <w:sz w:val="24"/>
          <w:szCs w:val="24"/>
        </w:rPr>
        <w:t xml:space="preserve">). Methodology for Deriving Ambient Water Quality Criteria for the Protection of Human Health – Revised Methodology (2000) Factsheet. Accessed online at: </w:t>
      </w:r>
      <w:hyperlink r:id="rId27" w:history="1">
        <w:r w:rsidRPr="00F314C1">
          <w:rPr>
            <w:rStyle w:val="Hyperlink"/>
            <w:rFonts w:asciiTheme="minorHAnsi" w:hAnsiTheme="minorHAnsi"/>
            <w:sz w:val="24"/>
            <w:szCs w:val="24"/>
          </w:rPr>
          <w:t>http://water.epa.gov/scitech/swguidance/standards/criteria/health/methodology/factsheet.cfm</w:t>
        </w:r>
      </w:hyperlink>
    </w:p>
    <w:p w14:paraId="4451467D" w14:textId="0871E670" w:rsidR="00465BAA" w:rsidRPr="00F314C1" w:rsidRDefault="00465BAA" w:rsidP="00DB32C6">
      <w:pPr>
        <w:ind w:left="720" w:hanging="720"/>
        <w:rPr>
          <w:rFonts w:asciiTheme="minorHAnsi" w:hAnsiTheme="minorHAnsi"/>
          <w:sz w:val="24"/>
          <w:szCs w:val="24"/>
        </w:rPr>
      </w:pPr>
      <w:r w:rsidRPr="00F314C1">
        <w:rPr>
          <w:rFonts w:asciiTheme="minorHAnsi" w:hAnsiTheme="minorHAnsi"/>
          <w:sz w:val="24"/>
          <w:szCs w:val="24"/>
        </w:rPr>
        <w:t xml:space="preserve">EPA. (2000b) Human Health Risk Assessment of Chemical Contaminates in Seafood from Cook Inlet, </w:t>
      </w:r>
      <w:proofErr w:type="spellStart"/>
      <w:r w:rsidRPr="00F314C1">
        <w:rPr>
          <w:rFonts w:asciiTheme="minorHAnsi" w:hAnsiTheme="minorHAnsi"/>
          <w:sz w:val="24"/>
          <w:szCs w:val="24"/>
        </w:rPr>
        <w:t>Alasksa</w:t>
      </w:r>
      <w:proofErr w:type="spellEnd"/>
      <w:r w:rsidRPr="00F314C1">
        <w:rPr>
          <w:rFonts w:asciiTheme="minorHAnsi" w:hAnsiTheme="minorHAnsi"/>
          <w:sz w:val="24"/>
          <w:szCs w:val="24"/>
        </w:rPr>
        <w:t xml:space="preserve"> (Draft Report Version 2.) U.S. Environmental Protection Agency, Washington, D.C. September 2000</w:t>
      </w:r>
    </w:p>
    <w:p w14:paraId="6498808C" w14:textId="77777777" w:rsidR="00DB32C6" w:rsidRPr="00F314C1" w:rsidRDefault="00DB32C6" w:rsidP="00DB32C6">
      <w:pPr>
        <w:ind w:left="720" w:hanging="720"/>
        <w:rPr>
          <w:rFonts w:asciiTheme="minorHAnsi" w:hAnsiTheme="minorHAnsi"/>
          <w:sz w:val="24"/>
          <w:szCs w:val="24"/>
        </w:rPr>
      </w:pPr>
      <w:r w:rsidRPr="00F314C1">
        <w:rPr>
          <w:rFonts w:asciiTheme="minorHAnsi" w:hAnsiTheme="minorHAnsi"/>
          <w:sz w:val="24"/>
          <w:szCs w:val="24"/>
        </w:rPr>
        <w:t xml:space="preserve">EPA. (1992). Water Quality Standards; Establishment of Numeric Criteria for Priority Toxic Pollutants; States' Compliances. </w:t>
      </w:r>
      <w:r w:rsidRPr="00F314C1">
        <w:rPr>
          <w:rFonts w:asciiTheme="minorHAnsi" w:hAnsiTheme="minorHAnsi"/>
          <w:i/>
          <w:sz w:val="24"/>
          <w:szCs w:val="24"/>
        </w:rPr>
        <w:t>Federal Register</w:t>
      </w:r>
      <w:r w:rsidRPr="00F314C1">
        <w:rPr>
          <w:rFonts w:asciiTheme="minorHAnsi" w:hAnsiTheme="minorHAnsi"/>
          <w:sz w:val="24"/>
          <w:szCs w:val="24"/>
        </w:rPr>
        <w:t>, Volume: 57, Issue: 246, Page: 60848 (57 FR 60848), Tuesday, December 22, 1992.</w:t>
      </w:r>
    </w:p>
    <w:p w14:paraId="6DA53246" w14:textId="075F40AC" w:rsidR="00257222" w:rsidRPr="00F314C1" w:rsidRDefault="00257222" w:rsidP="005C66DD">
      <w:pPr>
        <w:ind w:left="720" w:hanging="720"/>
        <w:rPr>
          <w:rFonts w:asciiTheme="minorHAnsi" w:hAnsiTheme="minorHAnsi"/>
          <w:sz w:val="24"/>
          <w:szCs w:val="24"/>
        </w:rPr>
      </w:pPr>
      <w:r w:rsidRPr="00F314C1">
        <w:rPr>
          <w:rFonts w:asciiTheme="minorHAnsi" w:hAnsiTheme="minorHAnsi"/>
          <w:sz w:val="24"/>
          <w:szCs w:val="24"/>
        </w:rPr>
        <w:t xml:space="preserve">Fall, J., Brenner, A.R., Evans, S.S., </w:t>
      </w:r>
      <w:proofErr w:type="spellStart"/>
      <w:r w:rsidRPr="00F314C1">
        <w:rPr>
          <w:rFonts w:asciiTheme="minorHAnsi" w:hAnsiTheme="minorHAnsi"/>
          <w:sz w:val="24"/>
          <w:szCs w:val="24"/>
        </w:rPr>
        <w:t>Holen</w:t>
      </w:r>
      <w:proofErr w:type="spellEnd"/>
      <w:r w:rsidRPr="00F314C1">
        <w:rPr>
          <w:rFonts w:asciiTheme="minorHAnsi" w:hAnsiTheme="minorHAnsi"/>
          <w:sz w:val="24"/>
          <w:szCs w:val="24"/>
        </w:rPr>
        <w:t xml:space="preserve">, D., </w:t>
      </w:r>
      <w:proofErr w:type="spellStart"/>
      <w:r w:rsidRPr="00F314C1">
        <w:rPr>
          <w:rFonts w:asciiTheme="minorHAnsi" w:hAnsiTheme="minorHAnsi"/>
          <w:sz w:val="24"/>
          <w:szCs w:val="24"/>
        </w:rPr>
        <w:t>Scarbrough</w:t>
      </w:r>
      <w:proofErr w:type="spellEnd"/>
      <w:r w:rsidRPr="00F314C1">
        <w:rPr>
          <w:rFonts w:asciiTheme="minorHAnsi" w:hAnsiTheme="minorHAnsi"/>
          <w:sz w:val="24"/>
          <w:szCs w:val="24"/>
        </w:rPr>
        <w:t xml:space="preserve">-Hutchinson, L., Jones, B., La Vine, R., Lemons, T., </w:t>
      </w:r>
      <w:proofErr w:type="spellStart"/>
      <w:r w:rsidRPr="00F314C1">
        <w:rPr>
          <w:rFonts w:asciiTheme="minorHAnsi" w:hAnsiTheme="minorHAnsi"/>
          <w:sz w:val="24"/>
          <w:szCs w:val="24"/>
        </w:rPr>
        <w:t>Marchioni</w:t>
      </w:r>
      <w:proofErr w:type="spellEnd"/>
      <w:r w:rsidRPr="00F314C1">
        <w:rPr>
          <w:rFonts w:asciiTheme="minorHAnsi" w:hAnsiTheme="minorHAnsi"/>
          <w:sz w:val="24"/>
          <w:szCs w:val="24"/>
        </w:rPr>
        <w:t xml:space="preserve">, M.A., </w:t>
      </w:r>
      <w:proofErr w:type="spellStart"/>
      <w:r w:rsidRPr="00F314C1">
        <w:rPr>
          <w:rFonts w:asciiTheme="minorHAnsi" w:hAnsiTheme="minorHAnsi"/>
          <w:sz w:val="24"/>
          <w:szCs w:val="24"/>
        </w:rPr>
        <w:t>Mikow</w:t>
      </w:r>
      <w:proofErr w:type="spellEnd"/>
      <w:r w:rsidRPr="00F314C1">
        <w:rPr>
          <w:rFonts w:asciiTheme="minorHAnsi" w:hAnsiTheme="minorHAnsi"/>
          <w:sz w:val="24"/>
          <w:szCs w:val="24"/>
        </w:rPr>
        <w:t>, E., Ream, J.T., Sill, L.A. and Trainor, A. (2013)</w:t>
      </w:r>
      <w:r w:rsidR="00DC16E2" w:rsidRPr="00F314C1">
        <w:rPr>
          <w:rFonts w:asciiTheme="minorHAnsi" w:hAnsiTheme="minorHAnsi"/>
          <w:sz w:val="24"/>
          <w:szCs w:val="24"/>
        </w:rPr>
        <w:t>.</w:t>
      </w:r>
      <w:r w:rsidRPr="00F314C1">
        <w:rPr>
          <w:rFonts w:asciiTheme="minorHAnsi" w:hAnsiTheme="minorHAnsi"/>
          <w:sz w:val="24"/>
          <w:szCs w:val="24"/>
        </w:rPr>
        <w:t xml:space="preserve"> Alaska Subsistence and Personal Use Salmon Fisheries 2011 Annual Report. </w:t>
      </w:r>
      <w:r w:rsidR="004C7F33" w:rsidRPr="00F314C1">
        <w:rPr>
          <w:rFonts w:asciiTheme="minorHAnsi" w:hAnsiTheme="minorHAnsi"/>
          <w:sz w:val="24"/>
          <w:szCs w:val="24"/>
        </w:rPr>
        <w:t>Alaska Department of Fish and Game, Division of Subsistence -</w:t>
      </w:r>
      <w:r w:rsidRPr="00F314C1">
        <w:rPr>
          <w:rFonts w:asciiTheme="minorHAnsi" w:hAnsiTheme="minorHAnsi"/>
          <w:sz w:val="24"/>
          <w:szCs w:val="24"/>
        </w:rPr>
        <w:t xml:space="preserve">Technical Paper No. 387. October 2013. </w:t>
      </w:r>
    </w:p>
    <w:p w14:paraId="6498808D" w14:textId="77777777" w:rsidR="005C66DD" w:rsidRPr="00F314C1" w:rsidRDefault="005C66DD" w:rsidP="005C66DD">
      <w:pPr>
        <w:ind w:left="720" w:hanging="720"/>
        <w:rPr>
          <w:rFonts w:asciiTheme="minorHAnsi" w:hAnsiTheme="minorHAnsi"/>
          <w:sz w:val="24"/>
          <w:szCs w:val="24"/>
        </w:rPr>
      </w:pPr>
      <w:r w:rsidRPr="00F314C1">
        <w:rPr>
          <w:rFonts w:asciiTheme="minorHAnsi" w:hAnsiTheme="minorHAnsi"/>
          <w:sz w:val="24"/>
          <w:szCs w:val="24"/>
        </w:rPr>
        <w:lastRenderedPageBreak/>
        <w:t>Fall, J. (2011). An Updated Overview of its Research, Program and Findings. Poster presentation prepared for 27</w:t>
      </w:r>
      <w:r w:rsidRPr="00F314C1">
        <w:rPr>
          <w:rFonts w:asciiTheme="minorHAnsi" w:hAnsiTheme="minorHAnsi"/>
          <w:sz w:val="24"/>
          <w:szCs w:val="24"/>
          <w:vertAlign w:val="superscript"/>
        </w:rPr>
        <w:t>th</w:t>
      </w:r>
      <w:r w:rsidRPr="00F314C1">
        <w:rPr>
          <w:rFonts w:asciiTheme="minorHAnsi" w:hAnsiTheme="minorHAnsi"/>
          <w:sz w:val="24"/>
          <w:szCs w:val="24"/>
        </w:rPr>
        <w:t xml:space="preserve"> Lowell Wakefield Fisheries Symposium Series, Fishing People of the North: Cultures, Economies and Management Responding to Change, September 14-17, 2011. Accessed online at: </w:t>
      </w:r>
      <w:hyperlink r:id="rId28" w:history="1">
        <w:r w:rsidRPr="00F314C1">
          <w:rPr>
            <w:rStyle w:val="Hyperlink"/>
            <w:rFonts w:asciiTheme="minorHAnsi" w:hAnsiTheme="minorHAnsi"/>
            <w:sz w:val="24"/>
            <w:szCs w:val="24"/>
          </w:rPr>
          <w:t>https://seagrant.uaf.edu/conferences/2011/wakefield-people/presentations/fall-division-subsistence.pdf</w:t>
        </w:r>
      </w:hyperlink>
    </w:p>
    <w:p w14:paraId="6498808E" w14:textId="12705B6F" w:rsidR="007241E7" w:rsidRPr="00F314C1" w:rsidRDefault="007241E7" w:rsidP="007241E7">
      <w:pPr>
        <w:autoSpaceDE w:val="0"/>
        <w:autoSpaceDN w:val="0"/>
        <w:adjustRightInd w:val="0"/>
        <w:spacing w:after="0" w:line="240" w:lineRule="auto"/>
        <w:ind w:left="720" w:hanging="720"/>
        <w:rPr>
          <w:rFonts w:asciiTheme="minorHAnsi" w:hAnsiTheme="minorHAnsi" w:cs="AdvTT6120e2aa"/>
          <w:sz w:val="24"/>
          <w:szCs w:val="24"/>
        </w:rPr>
      </w:pPr>
      <w:r w:rsidRPr="00F314C1">
        <w:rPr>
          <w:rFonts w:asciiTheme="minorHAnsi" w:hAnsiTheme="minorHAnsi" w:cs="AdvTT6120e2aa"/>
          <w:sz w:val="24"/>
          <w:szCs w:val="24"/>
        </w:rPr>
        <w:t>Hamrick</w:t>
      </w:r>
      <w:r w:rsidR="00DC16E2" w:rsidRPr="00F314C1">
        <w:rPr>
          <w:rFonts w:asciiTheme="minorHAnsi" w:hAnsiTheme="minorHAnsi" w:cs="AdvTT6120e2aa"/>
          <w:sz w:val="24"/>
          <w:szCs w:val="24"/>
        </w:rPr>
        <w:t>,</w:t>
      </w:r>
      <w:r w:rsidRPr="00F314C1">
        <w:rPr>
          <w:rFonts w:asciiTheme="minorHAnsi" w:hAnsiTheme="minorHAnsi" w:cs="AdvTT6120e2aa"/>
          <w:sz w:val="24"/>
          <w:szCs w:val="24"/>
        </w:rPr>
        <w:t xml:space="preserve"> K</w:t>
      </w:r>
      <w:r w:rsidR="00DC16E2" w:rsidRPr="00F314C1">
        <w:rPr>
          <w:rFonts w:asciiTheme="minorHAnsi" w:hAnsiTheme="minorHAnsi" w:cs="AdvTT6120e2aa"/>
          <w:sz w:val="24"/>
          <w:szCs w:val="24"/>
        </w:rPr>
        <w:t xml:space="preserve">. and </w:t>
      </w:r>
      <w:r w:rsidRPr="00F314C1">
        <w:rPr>
          <w:rFonts w:asciiTheme="minorHAnsi" w:hAnsiTheme="minorHAnsi" w:cs="AdvTT6120e2aa"/>
          <w:sz w:val="24"/>
          <w:szCs w:val="24"/>
        </w:rPr>
        <w:t>Smith</w:t>
      </w:r>
      <w:r w:rsidR="00DC16E2" w:rsidRPr="00F314C1">
        <w:rPr>
          <w:rFonts w:asciiTheme="minorHAnsi" w:hAnsiTheme="minorHAnsi" w:cs="AdvTT6120e2aa"/>
          <w:sz w:val="24"/>
          <w:szCs w:val="24"/>
        </w:rPr>
        <w:t>,</w:t>
      </w:r>
      <w:r w:rsidRPr="00F314C1">
        <w:rPr>
          <w:rFonts w:asciiTheme="minorHAnsi" w:hAnsiTheme="minorHAnsi" w:cs="AdvTT6120e2aa"/>
          <w:sz w:val="24"/>
          <w:szCs w:val="24"/>
        </w:rPr>
        <w:t xml:space="preserve"> J. </w:t>
      </w:r>
      <w:r w:rsidR="006F565C" w:rsidRPr="00F314C1">
        <w:rPr>
          <w:rFonts w:asciiTheme="minorHAnsi" w:hAnsiTheme="minorHAnsi" w:cs="AdvTT6120e2aa"/>
          <w:sz w:val="24"/>
          <w:szCs w:val="24"/>
        </w:rPr>
        <w:t xml:space="preserve">(2003). </w:t>
      </w:r>
      <w:r w:rsidRPr="00F314C1">
        <w:rPr>
          <w:rFonts w:asciiTheme="minorHAnsi" w:hAnsiTheme="minorHAnsi" w:cs="AdvTT6120e2aa"/>
          <w:sz w:val="24"/>
          <w:szCs w:val="24"/>
        </w:rPr>
        <w:t xml:space="preserve">Subsistence food use in Unalaska and </w:t>
      </w:r>
      <w:proofErr w:type="spellStart"/>
      <w:r w:rsidRPr="00F314C1">
        <w:rPr>
          <w:rFonts w:asciiTheme="minorHAnsi" w:hAnsiTheme="minorHAnsi" w:cs="AdvTT6120e2aa"/>
          <w:sz w:val="24"/>
          <w:szCs w:val="24"/>
        </w:rPr>
        <w:t>Nikolski</w:t>
      </w:r>
      <w:proofErr w:type="spellEnd"/>
      <w:r w:rsidRPr="00F314C1">
        <w:rPr>
          <w:rFonts w:asciiTheme="minorHAnsi" w:hAnsiTheme="minorHAnsi" w:cs="AdvTT6120e2aa"/>
          <w:sz w:val="24"/>
          <w:szCs w:val="24"/>
        </w:rPr>
        <w:t>. Anchorage, AK: Aleutian/Pribilof Island Association; 2003.</w:t>
      </w:r>
    </w:p>
    <w:p w14:paraId="6498808F" w14:textId="77777777" w:rsidR="007241E7" w:rsidRPr="00F314C1" w:rsidRDefault="007241E7" w:rsidP="007241E7">
      <w:pPr>
        <w:autoSpaceDE w:val="0"/>
        <w:autoSpaceDN w:val="0"/>
        <w:adjustRightInd w:val="0"/>
        <w:spacing w:before="0" w:after="0" w:line="240" w:lineRule="auto"/>
        <w:rPr>
          <w:rFonts w:asciiTheme="minorHAnsi" w:hAnsiTheme="minorHAnsi" w:cs="TimesNewRomanPSMT"/>
          <w:sz w:val="24"/>
          <w:szCs w:val="24"/>
        </w:rPr>
      </w:pPr>
    </w:p>
    <w:p w14:paraId="64988091" w14:textId="6FEC3B71" w:rsidR="007241E7" w:rsidRPr="00F314C1" w:rsidRDefault="007241E7" w:rsidP="007241E7">
      <w:pPr>
        <w:autoSpaceDE w:val="0"/>
        <w:autoSpaceDN w:val="0"/>
        <w:adjustRightInd w:val="0"/>
        <w:spacing w:before="0" w:after="0" w:line="240" w:lineRule="auto"/>
        <w:ind w:left="720" w:hanging="720"/>
        <w:rPr>
          <w:rFonts w:asciiTheme="minorHAnsi" w:hAnsiTheme="minorHAnsi" w:cs="AdvTT6120e2aa"/>
          <w:sz w:val="24"/>
          <w:szCs w:val="24"/>
        </w:rPr>
      </w:pPr>
      <w:r w:rsidRPr="00F314C1">
        <w:rPr>
          <w:rFonts w:asciiTheme="minorHAnsi" w:hAnsiTheme="minorHAnsi" w:cs="TimesNewRomanPSMT"/>
          <w:sz w:val="24"/>
          <w:szCs w:val="24"/>
        </w:rPr>
        <w:t>Hamrick, K., Smith</w:t>
      </w:r>
      <w:r w:rsidR="00DC16E2" w:rsidRPr="00F314C1">
        <w:rPr>
          <w:rFonts w:asciiTheme="minorHAnsi" w:hAnsiTheme="minorHAnsi" w:cs="TimesNewRomanPSMT"/>
          <w:sz w:val="24"/>
          <w:szCs w:val="24"/>
        </w:rPr>
        <w:t>, J.</w:t>
      </w:r>
      <w:r w:rsidRPr="00F314C1">
        <w:rPr>
          <w:rFonts w:asciiTheme="minorHAnsi" w:hAnsiTheme="minorHAnsi" w:cs="TimesNewRomanPSMT"/>
          <w:sz w:val="24"/>
          <w:szCs w:val="24"/>
        </w:rPr>
        <w:t>,</w:t>
      </w:r>
      <w:r w:rsidR="00DC16E2" w:rsidRPr="00F314C1">
        <w:rPr>
          <w:rFonts w:asciiTheme="minorHAnsi" w:hAnsiTheme="minorHAnsi" w:cs="TimesNewRomanPSMT"/>
          <w:sz w:val="24"/>
          <w:szCs w:val="24"/>
        </w:rPr>
        <w:t xml:space="preserve"> </w:t>
      </w:r>
      <w:r w:rsidRPr="00F314C1">
        <w:rPr>
          <w:rFonts w:asciiTheme="minorHAnsi" w:hAnsiTheme="minorHAnsi" w:cs="TimesNewRomanPSMT"/>
          <w:sz w:val="24"/>
          <w:szCs w:val="24"/>
        </w:rPr>
        <w:t>Doucette</w:t>
      </w:r>
      <w:r w:rsidR="00DC16E2" w:rsidRPr="00F314C1">
        <w:rPr>
          <w:rFonts w:asciiTheme="minorHAnsi" w:hAnsiTheme="minorHAnsi" w:cs="TimesNewRomanPSMT"/>
          <w:sz w:val="24"/>
          <w:szCs w:val="24"/>
        </w:rPr>
        <w:t>, S.</w:t>
      </w:r>
      <w:r w:rsidRPr="00F314C1">
        <w:rPr>
          <w:rFonts w:asciiTheme="minorHAnsi" w:hAnsiTheme="minorHAnsi" w:cs="TimesNewRomanPSMT"/>
          <w:sz w:val="24"/>
          <w:szCs w:val="24"/>
        </w:rPr>
        <w:t>, Nichols</w:t>
      </w:r>
      <w:r w:rsidR="00DC16E2" w:rsidRPr="00F314C1">
        <w:rPr>
          <w:rFonts w:asciiTheme="minorHAnsi" w:hAnsiTheme="minorHAnsi" w:cs="TimesNewRomanPSMT"/>
          <w:sz w:val="24"/>
          <w:szCs w:val="24"/>
        </w:rPr>
        <w:t>, R.</w:t>
      </w:r>
      <w:r w:rsidRPr="00F314C1">
        <w:rPr>
          <w:rFonts w:asciiTheme="minorHAnsi" w:hAnsiTheme="minorHAnsi" w:cs="TimesNewRomanPSMT"/>
          <w:sz w:val="24"/>
          <w:szCs w:val="24"/>
        </w:rPr>
        <w:t>, Taylor</w:t>
      </w:r>
      <w:r w:rsidR="00DC16E2" w:rsidRPr="00F314C1">
        <w:rPr>
          <w:rFonts w:asciiTheme="minorHAnsi" w:hAnsiTheme="minorHAnsi" w:cs="TimesNewRomanPSMT"/>
          <w:sz w:val="24"/>
          <w:szCs w:val="24"/>
        </w:rPr>
        <w:t>,</w:t>
      </w:r>
      <w:r w:rsidR="001E5D88" w:rsidRPr="00F314C1">
        <w:rPr>
          <w:rFonts w:asciiTheme="minorHAnsi" w:hAnsiTheme="minorHAnsi" w:cs="TimesNewRomanPSMT"/>
          <w:sz w:val="24"/>
          <w:szCs w:val="24"/>
        </w:rPr>
        <w:t xml:space="preserve"> </w:t>
      </w:r>
      <w:r w:rsidR="00DC16E2" w:rsidRPr="00F314C1">
        <w:rPr>
          <w:rFonts w:asciiTheme="minorHAnsi" w:hAnsiTheme="minorHAnsi" w:cs="TimesNewRomanPSMT"/>
          <w:sz w:val="24"/>
          <w:szCs w:val="24"/>
        </w:rPr>
        <w:t>A.</w:t>
      </w:r>
      <w:r w:rsidRPr="00F314C1">
        <w:rPr>
          <w:rFonts w:asciiTheme="minorHAnsi" w:hAnsiTheme="minorHAnsi" w:cs="TimesNewRomanPSMT"/>
          <w:sz w:val="24"/>
          <w:szCs w:val="24"/>
        </w:rPr>
        <w:t>, and Smith</w:t>
      </w:r>
      <w:r w:rsidR="00DC16E2" w:rsidRPr="00F314C1">
        <w:rPr>
          <w:rFonts w:asciiTheme="minorHAnsi" w:hAnsiTheme="minorHAnsi" w:cs="TimesNewRomanPSMT"/>
          <w:sz w:val="24"/>
          <w:szCs w:val="24"/>
        </w:rPr>
        <w:t>, S.</w:t>
      </w:r>
      <w:r w:rsidR="004C7F33" w:rsidRPr="00F314C1">
        <w:rPr>
          <w:rFonts w:asciiTheme="minorHAnsi" w:hAnsiTheme="minorHAnsi" w:cs="TimesNewRomanPSMT"/>
          <w:sz w:val="24"/>
          <w:szCs w:val="24"/>
        </w:rPr>
        <w:t xml:space="preserve"> (</w:t>
      </w:r>
      <w:r w:rsidRPr="00F314C1">
        <w:rPr>
          <w:rFonts w:asciiTheme="minorHAnsi" w:hAnsiTheme="minorHAnsi" w:cs="TimesNewRomanPSMT"/>
          <w:sz w:val="24"/>
          <w:szCs w:val="24"/>
        </w:rPr>
        <w:t>2003</w:t>
      </w:r>
      <w:r w:rsidR="004C7F33" w:rsidRPr="00F314C1">
        <w:rPr>
          <w:rFonts w:asciiTheme="minorHAnsi" w:hAnsiTheme="minorHAnsi" w:cs="TimesNewRomanPSMT"/>
          <w:sz w:val="24"/>
          <w:szCs w:val="24"/>
        </w:rPr>
        <w:t>)</w:t>
      </w:r>
      <w:r w:rsidRPr="00F314C1">
        <w:rPr>
          <w:rFonts w:asciiTheme="minorHAnsi" w:hAnsiTheme="minorHAnsi" w:cs="TimesNewRomanPSMT"/>
          <w:sz w:val="24"/>
          <w:szCs w:val="24"/>
        </w:rPr>
        <w:t xml:space="preserve">. </w:t>
      </w:r>
      <w:r w:rsidRPr="00F314C1">
        <w:rPr>
          <w:rFonts w:asciiTheme="minorHAnsi" w:hAnsiTheme="minorHAnsi" w:cs="TimesNewRomanPS-ItalicMT"/>
          <w:i/>
          <w:iCs/>
          <w:sz w:val="24"/>
          <w:szCs w:val="24"/>
        </w:rPr>
        <w:t>Dietary Benefits</w:t>
      </w:r>
      <w:r w:rsidR="006F565C" w:rsidRPr="00F314C1">
        <w:rPr>
          <w:rFonts w:asciiTheme="minorHAnsi" w:hAnsiTheme="minorHAnsi" w:cs="TimesNewRomanPS-ItalicMT"/>
          <w:i/>
          <w:iCs/>
          <w:sz w:val="24"/>
          <w:szCs w:val="24"/>
        </w:rPr>
        <w:t xml:space="preserve"> </w:t>
      </w:r>
      <w:r w:rsidRPr="00F314C1">
        <w:rPr>
          <w:rFonts w:asciiTheme="minorHAnsi" w:hAnsiTheme="minorHAnsi" w:cs="TimesNewRomanPS-ItalicMT"/>
          <w:i/>
          <w:iCs/>
          <w:sz w:val="24"/>
          <w:szCs w:val="24"/>
        </w:rPr>
        <w:t>and Risks in Alaska Native Villages, St. Paul Dietary Survey Results</w:t>
      </w:r>
      <w:r w:rsidRPr="00F314C1">
        <w:rPr>
          <w:rFonts w:asciiTheme="minorHAnsi" w:hAnsiTheme="minorHAnsi" w:cs="TimesNewRomanPSMT"/>
          <w:sz w:val="24"/>
          <w:szCs w:val="24"/>
        </w:rPr>
        <w:t>, prepared for Aleutian/Pribilof Islands Association, Institute for Circumpolar Health Studies, University of</w:t>
      </w:r>
      <w:r w:rsidR="000B06F3" w:rsidRPr="00F314C1">
        <w:rPr>
          <w:rFonts w:asciiTheme="minorHAnsi" w:hAnsiTheme="minorHAnsi" w:cs="TimesNewRomanPSMT"/>
          <w:sz w:val="24"/>
          <w:szCs w:val="24"/>
        </w:rPr>
        <w:t xml:space="preserve"> </w:t>
      </w:r>
      <w:r w:rsidRPr="00F314C1">
        <w:rPr>
          <w:rFonts w:asciiTheme="minorHAnsi" w:hAnsiTheme="minorHAnsi" w:cs="TimesNewRomanPSMT"/>
          <w:sz w:val="24"/>
          <w:szCs w:val="24"/>
        </w:rPr>
        <w:t xml:space="preserve">Alaska Anchorage, </w:t>
      </w:r>
      <w:proofErr w:type="gramStart"/>
      <w:r w:rsidRPr="00F314C1">
        <w:rPr>
          <w:rFonts w:asciiTheme="minorHAnsi" w:hAnsiTheme="minorHAnsi" w:cs="TimesNewRomanPSMT"/>
          <w:sz w:val="24"/>
          <w:szCs w:val="24"/>
        </w:rPr>
        <w:t>March</w:t>
      </w:r>
      <w:proofErr w:type="gramEnd"/>
      <w:r w:rsidRPr="00F314C1">
        <w:rPr>
          <w:rFonts w:asciiTheme="minorHAnsi" w:hAnsiTheme="minorHAnsi" w:cs="TimesNewRomanPSMT"/>
          <w:sz w:val="24"/>
          <w:szCs w:val="24"/>
        </w:rPr>
        <w:t>.</w:t>
      </w:r>
    </w:p>
    <w:p w14:paraId="64988092" w14:textId="3933429E" w:rsidR="00461C9D" w:rsidRPr="00F314C1" w:rsidRDefault="00461C9D" w:rsidP="005C66DD">
      <w:pPr>
        <w:ind w:left="720" w:hanging="720"/>
        <w:rPr>
          <w:rFonts w:asciiTheme="minorHAnsi" w:hAnsiTheme="minorHAnsi"/>
          <w:sz w:val="24"/>
          <w:szCs w:val="24"/>
        </w:rPr>
      </w:pPr>
      <w:r w:rsidRPr="00F314C1">
        <w:rPr>
          <w:rFonts w:asciiTheme="minorHAnsi" w:hAnsiTheme="minorHAnsi"/>
          <w:sz w:val="24"/>
          <w:szCs w:val="24"/>
        </w:rPr>
        <w:t xml:space="preserve">Johnson, J.S., Nobmann, E.D., </w:t>
      </w:r>
      <w:proofErr w:type="spellStart"/>
      <w:r w:rsidRPr="00F314C1">
        <w:rPr>
          <w:rFonts w:asciiTheme="minorHAnsi" w:hAnsiTheme="minorHAnsi"/>
          <w:sz w:val="24"/>
          <w:szCs w:val="24"/>
        </w:rPr>
        <w:t>Asay</w:t>
      </w:r>
      <w:proofErr w:type="spellEnd"/>
      <w:r w:rsidRPr="00F314C1">
        <w:rPr>
          <w:rFonts w:asciiTheme="minorHAnsi" w:hAnsiTheme="minorHAnsi"/>
          <w:sz w:val="24"/>
          <w:szCs w:val="24"/>
        </w:rPr>
        <w:t xml:space="preserve">, E., and Lanier A.P. (2009). Dietary Intake of Alaska Native People in Two Regions and Implications for Health: The Alaska Native Dietary and Subsistence Food Assessment Project. </w:t>
      </w:r>
      <w:r w:rsidRPr="00F314C1">
        <w:rPr>
          <w:rFonts w:asciiTheme="minorHAnsi" w:hAnsiTheme="minorHAnsi"/>
          <w:i/>
          <w:sz w:val="24"/>
          <w:szCs w:val="24"/>
        </w:rPr>
        <w:t>International Journal of Circumpolar Health</w:t>
      </w:r>
      <w:r w:rsidRPr="00F314C1">
        <w:rPr>
          <w:rFonts w:asciiTheme="minorHAnsi" w:hAnsiTheme="minorHAnsi"/>
          <w:sz w:val="24"/>
          <w:szCs w:val="24"/>
        </w:rPr>
        <w:t xml:space="preserve"> 68(2): 109-122</w:t>
      </w:r>
      <w:r w:rsidR="00DB32C6" w:rsidRPr="00F314C1">
        <w:rPr>
          <w:rFonts w:asciiTheme="minorHAnsi" w:hAnsiTheme="minorHAnsi"/>
          <w:sz w:val="24"/>
          <w:szCs w:val="24"/>
        </w:rPr>
        <w:t>.</w:t>
      </w:r>
    </w:p>
    <w:p w14:paraId="64988093" w14:textId="77777777" w:rsidR="00DB32C6" w:rsidRPr="00F314C1" w:rsidRDefault="00DB32C6" w:rsidP="005C66DD">
      <w:pPr>
        <w:ind w:left="720" w:hanging="720"/>
        <w:rPr>
          <w:rFonts w:asciiTheme="minorHAnsi" w:hAnsiTheme="minorHAnsi"/>
          <w:sz w:val="24"/>
          <w:szCs w:val="24"/>
        </w:rPr>
      </w:pPr>
      <w:r w:rsidRPr="00F314C1">
        <w:rPr>
          <w:rFonts w:asciiTheme="minorHAnsi" w:hAnsiTheme="minorHAnsi"/>
          <w:sz w:val="24"/>
          <w:szCs w:val="24"/>
        </w:rPr>
        <w:t>Kissinger, Lon. (2014). A Conceptual Approach for Relating Fish Populations, Harvest and Consumption. EPA Region 10, Office of Environmental Assessment, Risk Evaluation Unit. Accessed online at: http://www.critfc.org/wp-content/uploads/2014/04/FOOS-tech3-kissinger.pdf</w:t>
      </w:r>
    </w:p>
    <w:p w14:paraId="64988094" w14:textId="0FB3F07E" w:rsidR="00DB32C6" w:rsidRPr="00F314C1" w:rsidRDefault="00DB32C6" w:rsidP="00DB32C6">
      <w:pPr>
        <w:spacing w:before="0" w:line="276" w:lineRule="auto"/>
        <w:ind w:left="720" w:hanging="720"/>
        <w:rPr>
          <w:rFonts w:asciiTheme="minorHAnsi" w:hAnsiTheme="minorHAnsi"/>
          <w:sz w:val="24"/>
          <w:szCs w:val="24"/>
        </w:rPr>
      </w:pPr>
      <w:r w:rsidRPr="00F314C1">
        <w:rPr>
          <w:rFonts w:asciiTheme="minorHAnsi" w:hAnsiTheme="minorHAnsi"/>
          <w:sz w:val="24"/>
          <w:szCs w:val="24"/>
        </w:rPr>
        <w:t>Lees</w:t>
      </w:r>
      <w:r w:rsidR="00DC16E2" w:rsidRPr="00F314C1">
        <w:rPr>
          <w:rFonts w:asciiTheme="minorHAnsi" w:hAnsiTheme="minorHAnsi"/>
          <w:sz w:val="24"/>
          <w:szCs w:val="24"/>
        </w:rPr>
        <w:t>,</w:t>
      </w:r>
      <w:r w:rsidRPr="00F314C1">
        <w:rPr>
          <w:rFonts w:asciiTheme="minorHAnsi" w:hAnsiTheme="minorHAnsi"/>
          <w:sz w:val="24"/>
          <w:szCs w:val="24"/>
        </w:rPr>
        <w:t xml:space="preserve"> D</w:t>
      </w:r>
      <w:r w:rsidR="00DC16E2" w:rsidRPr="00F314C1">
        <w:rPr>
          <w:rFonts w:asciiTheme="minorHAnsi" w:hAnsiTheme="minorHAnsi"/>
          <w:sz w:val="24"/>
          <w:szCs w:val="24"/>
        </w:rPr>
        <w:t>.</w:t>
      </w:r>
      <w:r w:rsidRPr="00F314C1">
        <w:rPr>
          <w:rFonts w:asciiTheme="minorHAnsi" w:hAnsiTheme="minorHAnsi"/>
          <w:sz w:val="24"/>
          <w:szCs w:val="24"/>
        </w:rPr>
        <w:t>, Payne</w:t>
      </w:r>
      <w:r w:rsidR="00DC16E2" w:rsidRPr="00F314C1">
        <w:rPr>
          <w:rFonts w:asciiTheme="minorHAnsi" w:hAnsiTheme="minorHAnsi"/>
          <w:sz w:val="24"/>
          <w:szCs w:val="24"/>
        </w:rPr>
        <w:t>,</w:t>
      </w:r>
      <w:r w:rsidRPr="00F314C1">
        <w:rPr>
          <w:rFonts w:asciiTheme="minorHAnsi" w:hAnsiTheme="minorHAnsi"/>
          <w:sz w:val="24"/>
          <w:szCs w:val="24"/>
        </w:rPr>
        <w:t xml:space="preserve"> J</w:t>
      </w:r>
      <w:r w:rsidR="00DC16E2" w:rsidRPr="00F314C1">
        <w:rPr>
          <w:rFonts w:asciiTheme="minorHAnsi" w:hAnsiTheme="minorHAnsi"/>
          <w:sz w:val="24"/>
          <w:szCs w:val="24"/>
        </w:rPr>
        <w:t>.</w:t>
      </w:r>
      <w:r w:rsidRPr="00F314C1">
        <w:rPr>
          <w:rFonts w:asciiTheme="minorHAnsi" w:hAnsiTheme="minorHAnsi"/>
          <w:sz w:val="24"/>
          <w:szCs w:val="24"/>
        </w:rPr>
        <w:t xml:space="preserve">, and </w:t>
      </w:r>
      <w:proofErr w:type="spellStart"/>
      <w:r w:rsidRPr="00F314C1">
        <w:rPr>
          <w:rFonts w:asciiTheme="minorHAnsi" w:hAnsiTheme="minorHAnsi"/>
          <w:sz w:val="24"/>
          <w:szCs w:val="24"/>
        </w:rPr>
        <w:t>Driskell</w:t>
      </w:r>
      <w:proofErr w:type="spellEnd"/>
      <w:r w:rsidR="00DC16E2" w:rsidRPr="00F314C1">
        <w:rPr>
          <w:rFonts w:asciiTheme="minorHAnsi" w:hAnsiTheme="minorHAnsi"/>
          <w:sz w:val="24"/>
          <w:szCs w:val="24"/>
        </w:rPr>
        <w:t>,</w:t>
      </w:r>
      <w:r w:rsidRPr="00F314C1">
        <w:rPr>
          <w:rFonts w:asciiTheme="minorHAnsi" w:hAnsiTheme="minorHAnsi"/>
          <w:sz w:val="24"/>
          <w:szCs w:val="24"/>
        </w:rPr>
        <w:t xml:space="preserve"> W. </w:t>
      </w:r>
      <w:r w:rsidR="006F565C" w:rsidRPr="00F314C1">
        <w:rPr>
          <w:rFonts w:asciiTheme="minorHAnsi" w:hAnsiTheme="minorHAnsi"/>
          <w:sz w:val="24"/>
          <w:szCs w:val="24"/>
        </w:rPr>
        <w:t>(</w:t>
      </w:r>
      <w:r w:rsidRPr="00F314C1">
        <w:rPr>
          <w:rFonts w:asciiTheme="minorHAnsi" w:hAnsiTheme="minorHAnsi"/>
          <w:sz w:val="24"/>
          <w:szCs w:val="24"/>
        </w:rPr>
        <w:t>1999</w:t>
      </w:r>
      <w:r w:rsidR="006F565C" w:rsidRPr="00F314C1">
        <w:rPr>
          <w:rFonts w:asciiTheme="minorHAnsi" w:hAnsiTheme="minorHAnsi"/>
          <w:sz w:val="24"/>
          <w:szCs w:val="24"/>
        </w:rPr>
        <w:t>)</w:t>
      </w:r>
      <w:r w:rsidRPr="00F314C1">
        <w:rPr>
          <w:rFonts w:asciiTheme="minorHAnsi" w:hAnsiTheme="minorHAnsi"/>
          <w:sz w:val="24"/>
          <w:szCs w:val="24"/>
        </w:rPr>
        <w:t>. Technical Evaluation of the Environmental Monitoring Program for Cook Inlet Regional Citizens Advisory Council. Cook Inlet Regional Citizens Advisory Council [CIRCAC]. 23 January 1999.</w:t>
      </w:r>
    </w:p>
    <w:p w14:paraId="64988095" w14:textId="77777777" w:rsidR="005C66DD" w:rsidRPr="00F314C1" w:rsidRDefault="005C66DD" w:rsidP="005C66DD">
      <w:pPr>
        <w:ind w:left="720" w:hanging="720"/>
        <w:rPr>
          <w:rFonts w:asciiTheme="minorHAnsi" w:hAnsiTheme="minorHAnsi"/>
          <w:sz w:val="24"/>
          <w:szCs w:val="24"/>
        </w:rPr>
      </w:pPr>
      <w:r w:rsidRPr="00F314C1">
        <w:rPr>
          <w:rFonts w:asciiTheme="minorHAnsi" w:hAnsiTheme="minorHAnsi"/>
          <w:sz w:val="24"/>
          <w:szCs w:val="24"/>
        </w:rPr>
        <w:t>Lemons, T. (2011). Alaska Subsistence Fisheries Database. Poster presentation prepared for 27</w:t>
      </w:r>
      <w:r w:rsidRPr="00F314C1">
        <w:rPr>
          <w:rFonts w:asciiTheme="minorHAnsi" w:hAnsiTheme="minorHAnsi"/>
          <w:sz w:val="24"/>
          <w:szCs w:val="24"/>
          <w:vertAlign w:val="superscript"/>
        </w:rPr>
        <w:t>th</w:t>
      </w:r>
      <w:r w:rsidRPr="00F314C1">
        <w:rPr>
          <w:rFonts w:asciiTheme="minorHAnsi" w:hAnsiTheme="minorHAnsi"/>
          <w:sz w:val="24"/>
          <w:szCs w:val="24"/>
        </w:rPr>
        <w:t xml:space="preserve"> Lowell Wakefield Fisheries Symposium Series, Fishing People of the North: Cultures, Economies and Management Responding to Change, September 14-17, 2011. Accessed online at: </w:t>
      </w:r>
      <w:hyperlink r:id="rId29" w:history="1">
        <w:r w:rsidRPr="00F314C1">
          <w:rPr>
            <w:rStyle w:val="Hyperlink"/>
            <w:rFonts w:asciiTheme="minorHAnsi" w:hAnsiTheme="minorHAnsi"/>
            <w:sz w:val="24"/>
            <w:szCs w:val="24"/>
          </w:rPr>
          <w:t>http://seagrant.uaf.edu/conferences/2011/wakefield-people/presentations/lemons-alaska-subsistence-fisheries-database.pdf</w:t>
        </w:r>
      </w:hyperlink>
    </w:p>
    <w:p w14:paraId="0AA91BE2" w14:textId="7636E0C4" w:rsidR="00651481" w:rsidRPr="00F314C1" w:rsidRDefault="00651481" w:rsidP="00461C9D">
      <w:pPr>
        <w:tabs>
          <w:tab w:val="center" w:pos="4680"/>
        </w:tabs>
        <w:ind w:left="720" w:hanging="720"/>
        <w:rPr>
          <w:rFonts w:asciiTheme="minorHAnsi" w:hAnsiTheme="minorHAnsi"/>
          <w:sz w:val="24"/>
          <w:szCs w:val="24"/>
        </w:rPr>
      </w:pPr>
      <w:proofErr w:type="spellStart"/>
      <w:r w:rsidRPr="00F314C1">
        <w:rPr>
          <w:rFonts w:asciiTheme="minorHAnsi" w:hAnsiTheme="minorHAnsi"/>
          <w:sz w:val="24"/>
          <w:szCs w:val="24"/>
        </w:rPr>
        <w:t>Lennern</w:t>
      </w:r>
      <w:r w:rsidRPr="00F314C1">
        <w:rPr>
          <w:rFonts w:asciiTheme="minorHAnsi" w:hAnsiTheme="minorHAnsi" w:cs="Times New Roman"/>
          <w:sz w:val="24"/>
          <w:szCs w:val="24"/>
        </w:rPr>
        <w:t>ӓ</w:t>
      </w:r>
      <w:r w:rsidRPr="00F314C1">
        <w:rPr>
          <w:rFonts w:asciiTheme="minorHAnsi" w:hAnsiTheme="minorHAnsi"/>
          <w:sz w:val="24"/>
          <w:szCs w:val="24"/>
        </w:rPr>
        <w:t>s</w:t>
      </w:r>
      <w:proofErr w:type="spellEnd"/>
      <w:r w:rsidRPr="00F314C1">
        <w:rPr>
          <w:rFonts w:asciiTheme="minorHAnsi" w:hAnsiTheme="minorHAnsi"/>
          <w:sz w:val="24"/>
          <w:szCs w:val="24"/>
        </w:rPr>
        <w:t xml:space="preserve">, M. (1998). Dietary Assessment and Validity: To measure what is meant to measure. </w:t>
      </w:r>
      <w:r w:rsidRPr="00F314C1">
        <w:rPr>
          <w:rFonts w:asciiTheme="minorHAnsi" w:hAnsiTheme="minorHAnsi"/>
          <w:i/>
          <w:sz w:val="24"/>
          <w:szCs w:val="24"/>
        </w:rPr>
        <w:t>Scandinavian Journal of Nutrition</w:t>
      </w:r>
      <w:r w:rsidRPr="00F314C1">
        <w:rPr>
          <w:rFonts w:asciiTheme="minorHAnsi" w:hAnsiTheme="minorHAnsi"/>
          <w:sz w:val="24"/>
          <w:szCs w:val="24"/>
        </w:rPr>
        <w:t xml:space="preserve"> 42:63-65. </w:t>
      </w:r>
    </w:p>
    <w:p w14:paraId="64988096" w14:textId="77777777" w:rsidR="00461C9D" w:rsidRPr="00F314C1" w:rsidRDefault="00461C9D" w:rsidP="00461C9D">
      <w:pPr>
        <w:tabs>
          <w:tab w:val="center" w:pos="4680"/>
        </w:tabs>
        <w:ind w:left="720" w:hanging="720"/>
        <w:rPr>
          <w:rFonts w:asciiTheme="minorHAnsi" w:hAnsiTheme="minorHAnsi"/>
          <w:sz w:val="24"/>
          <w:szCs w:val="24"/>
        </w:rPr>
      </w:pPr>
      <w:r w:rsidRPr="00F314C1">
        <w:rPr>
          <w:rFonts w:asciiTheme="minorHAnsi" w:hAnsiTheme="minorHAnsi"/>
          <w:sz w:val="24"/>
          <w:szCs w:val="24"/>
        </w:rPr>
        <w:t>Loring, P.A., Gerlach, S.C. &amp; Harrison, H.L.</w:t>
      </w:r>
      <w:r w:rsidRPr="00F314C1">
        <w:rPr>
          <w:rFonts w:asciiTheme="minorHAnsi" w:hAnsiTheme="minorHAnsi"/>
          <w:sz w:val="24"/>
          <w:szCs w:val="24"/>
        </w:rPr>
        <w:tab/>
        <w:t xml:space="preserve"> (2013). Seafood as local food: Food Security and locally caught seafood on Alaska's Kenai Peninsula. </w:t>
      </w:r>
      <w:r w:rsidRPr="00F314C1">
        <w:rPr>
          <w:rFonts w:asciiTheme="minorHAnsi" w:hAnsiTheme="minorHAnsi"/>
          <w:i/>
          <w:sz w:val="24"/>
          <w:szCs w:val="24"/>
        </w:rPr>
        <w:t xml:space="preserve">Journal of Agriculture, Food Systems and Community Development </w:t>
      </w:r>
      <w:r w:rsidRPr="00F314C1">
        <w:rPr>
          <w:rFonts w:asciiTheme="minorHAnsi" w:hAnsiTheme="minorHAnsi"/>
          <w:sz w:val="24"/>
          <w:szCs w:val="24"/>
        </w:rPr>
        <w:t>3(3):13-30</w:t>
      </w:r>
    </w:p>
    <w:p w14:paraId="437ED1C7" w14:textId="2293F97A" w:rsidR="008160AF" w:rsidRPr="00F314C1" w:rsidRDefault="008160AF" w:rsidP="00DB32C6">
      <w:pPr>
        <w:spacing w:before="0" w:line="276" w:lineRule="auto"/>
        <w:ind w:left="720" w:hanging="720"/>
        <w:rPr>
          <w:rFonts w:asciiTheme="minorHAnsi" w:hAnsiTheme="minorHAnsi"/>
          <w:sz w:val="24"/>
          <w:szCs w:val="24"/>
        </w:rPr>
      </w:pPr>
      <w:r w:rsidRPr="00F314C1">
        <w:rPr>
          <w:rFonts w:asciiTheme="minorHAnsi" w:hAnsiTheme="minorHAnsi"/>
          <w:sz w:val="24"/>
          <w:szCs w:val="24"/>
        </w:rPr>
        <w:lastRenderedPageBreak/>
        <w:t>McDowell Group Inc. (2013). Economic Value of the Alaska Seafood Industry. Accessed on line at: http://pressroom.alaskaseafood.org/wp-content/uploads/2013/08/AK-Seafood-Impact-Report.pdf</w:t>
      </w:r>
    </w:p>
    <w:p w14:paraId="64988097" w14:textId="4E36607E" w:rsidR="00DB32C6" w:rsidRPr="00F314C1" w:rsidRDefault="00DB32C6" w:rsidP="00DB32C6">
      <w:pPr>
        <w:spacing w:before="0" w:line="276" w:lineRule="auto"/>
        <w:ind w:left="720" w:hanging="720"/>
        <w:rPr>
          <w:rFonts w:asciiTheme="minorHAnsi" w:hAnsiTheme="minorHAnsi"/>
          <w:sz w:val="24"/>
          <w:szCs w:val="24"/>
        </w:rPr>
      </w:pPr>
      <w:r w:rsidRPr="00F314C1">
        <w:rPr>
          <w:rFonts w:asciiTheme="minorHAnsi" w:hAnsiTheme="minorHAnsi"/>
          <w:sz w:val="24"/>
          <w:szCs w:val="24"/>
        </w:rPr>
        <w:t xml:space="preserve">Moya, J. </w:t>
      </w:r>
      <w:r w:rsidR="006F565C" w:rsidRPr="00F314C1">
        <w:rPr>
          <w:rFonts w:asciiTheme="minorHAnsi" w:hAnsiTheme="minorHAnsi"/>
          <w:sz w:val="24"/>
          <w:szCs w:val="24"/>
        </w:rPr>
        <w:t>(</w:t>
      </w:r>
      <w:r w:rsidRPr="00F314C1">
        <w:rPr>
          <w:rFonts w:asciiTheme="minorHAnsi" w:hAnsiTheme="minorHAnsi"/>
          <w:sz w:val="24"/>
          <w:szCs w:val="24"/>
        </w:rPr>
        <w:t>2004</w:t>
      </w:r>
      <w:r w:rsidR="006F565C" w:rsidRPr="00F314C1">
        <w:rPr>
          <w:rFonts w:asciiTheme="minorHAnsi" w:hAnsiTheme="minorHAnsi"/>
          <w:sz w:val="24"/>
          <w:szCs w:val="24"/>
        </w:rPr>
        <w:t>)</w:t>
      </w:r>
      <w:r w:rsidRPr="00F314C1">
        <w:rPr>
          <w:rFonts w:asciiTheme="minorHAnsi" w:hAnsiTheme="minorHAnsi"/>
          <w:sz w:val="24"/>
          <w:szCs w:val="24"/>
        </w:rPr>
        <w:t xml:space="preserve">. Overview of fish consumption rates in the United States. </w:t>
      </w:r>
      <w:r w:rsidRPr="00F314C1">
        <w:rPr>
          <w:rFonts w:asciiTheme="minorHAnsi" w:hAnsiTheme="minorHAnsi"/>
          <w:i/>
          <w:iCs/>
          <w:sz w:val="24"/>
          <w:szCs w:val="24"/>
        </w:rPr>
        <w:t>Human and Ecological Risk Assessment</w:t>
      </w:r>
      <w:r w:rsidRPr="00F314C1">
        <w:rPr>
          <w:rFonts w:asciiTheme="minorHAnsi" w:hAnsiTheme="minorHAnsi"/>
          <w:sz w:val="24"/>
          <w:szCs w:val="24"/>
        </w:rPr>
        <w:t xml:space="preserve"> 10: 1195-1211.</w:t>
      </w:r>
    </w:p>
    <w:p w14:paraId="64988098" w14:textId="7E8F7339" w:rsidR="00461C9D" w:rsidRPr="00F314C1" w:rsidRDefault="00461C9D" w:rsidP="00461C9D">
      <w:pPr>
        <w:tabs>
          <w:tab w:val="center" w:pos="4680"/>
        </w:tabs>
        <w:ind w:left="720" w:hanging="720"/>
        <w:rPr>
          <w:rFonts w:asciiTheme="minorHAnsi" w:hAnsiTheme="minorHAnsi"/>
          <w:sz w:val="24"/>
          <w:szCs w:val="24"/>
        </w:rPr>
      </w:pPr>
      <w:r w:rsidRPr="00F314C1">
        <w:rPr>
          <w:rFonts w:asciiTheme="minorHAnsi" w:hAnsiTheme="minorHAnsi"/>
          <w:sz w:val="24"/>
          <w:szCs w:val="24"/>
        </w:rPr>
        <w:t>Nobmann, E.D., Byers</w:t>
      </w:r>
      <w:r w:rsidR="00DC16E2" w:rsidRPr="00F314C1">
        <w:rPr>
          <w:rFonts w:asciiTheme="minorHAnsi" w:hAnsiTheme="minorHAnsi"/>
          <w:sz w:val="24"/>
          <w:szCs w:val="24"/>
        </w:rPr>
        <w:t>,</w:t>
      </w:r>
      <w:r w:rsidRPr="00F314C1">
        <w:rPr>
          <w:rFonts w:asciiTheme="minorHAnsi" w:hAnsiTheme="minorHAnsi"/>
          <w:sz w:val="24"/>
          <w:szCs w:val="24"/>
        </w:rPr>
        <w:t xml:space="preserve"> T., Lanier, A.P., </w:t>
      </w:r>
      <w:proofErr w:type="spellStart"/>
      <w:r w:rsidRPr="00F314C1">
        <w:rPr>
          <w:rFonts w:asciiTheme="minorHAnsi" w:hAnsiTheme="minorHAnsi"/>
          <w:sz w:val="24"/>
          <w:szCs w:val="24"/>
        </w:rPr>
        <w:t>Hankin</w:t>
      </w:r>
      <w:proofErr w:type="spellEnd"/>
      <w:r w:rsidRPr="00F314C1">
        <w:rPr>
          <w:rFonts w:asciiTheme="minorHAnsi" w:hAnsiTheme="minorHAnsi"/>
          <w:sz w:val="24"/>
          <w:szCs w:val="24"/>
        </w:rPr>
        <w:t xml:space="preserve">, J.H. and Jackson, M.Y. (1992). The diet of Alaska Native adults: 1987-1988. </w:t>
      </w:r>
      <w:r w:rsidRPr="00F314C1">
        <w:rPr>
          <w:rFonts w:asciiTheme="minorHAnsi" w:hAnsiTheme="minorHAnsi"/>
          <w:i/>
          <w:sz w:val="24"/>
          <w:szCs w:val="24"/>
        </w:rPr>
        <w:t>American Journal of Clinical Nutrition</w:t>
      </w:r>
      <w:r w:rsidRPr="00F314C1">
        <w:rPr>
          <w:rFonts w:asciiTheme="minorHAnsi" w:hAnsiTheme="minorHAnsi"/>
          <w:sz w:val="24"/>
          <w:szCs w:val="24"/>
        </w:rPr>
        <w:t xml:space="preserve"> 55: 1024-1032</w:t>
      </w:r>
      <w:r w:rsidR="00DB32C6" w:rsidRPr="00F314C1">
        <w:rPr>
          <w:rFonts w:asciiTheme="minorHAnsi" w:hAnsiTheme="minorHAnsi"/>
          <w:sz w:val="24"/>
          <w:szCs w:val="24"/>
        </w:rPr>
        <w:t>.</w:t>
      </w:r>
    </w:p>
    <w:p w14:paraId="64988099" w14:textId="6F75AA6F" w:rsidR="00DB32C6" w:rsidRPr="00F314C1" w:rsidRDefault="00DB32C6" w:rsidP="00096125">
      <w:pPr>
        <w:ind w:left="720" w:hanging="720"/>
        <w:rPr>
          <w:rFonts w:asciiTheme="minorHAnsi" w:hAnsiTheme="minorHAnsi"/>
          <w:sz w:val="24"/>
          <w:szCs w:val="24"/>
        </w:rPr>
      </w:pPr>
      <w:r w:rsidRPr="00F314C1">
        <w:rPr>
          <w:rFonts w:asciiTheme="minorHAnsi" w:hAnsiTheme="minorHAnsi"/>
          <w:sz w:val="24"/>
          <w:szCs w:val="24"/>
        </w:rPr>
        <w:t xml:space="preserve">Oregon Department of Environmental Quality (DEQ). </w:t>
      </w:r>
      <w:r w:rsidR="00162684" w:rsidRPr="00F314C1">
        <w:rPr>
          <w:rFonts w:asciiTheme="minorHAnsi" w:hAnsiTheme="minorHAnsi"/>
          <w:sz w:val="24"/>
          <w:szCs w:val="24"/>
        </w:rPr>
        <w:t xml:space="preserve">(2011). </w:t>
      </w:r>
      <w:r w:rsidRPr="00F314C1">
        <w:rPr>
          <w:rFonts w:asciiTheme="minorHAnsi" w:hAnsiTheme="minorHAnsi"/>
          <w:sz w:val="24"/>
          <w:szCs w:val="24"/>
        </w:rPr>
        <w:t>Human Health Water Quality Standards for Toxic Pollutants and Implementation Policies Rulemaking (2008-2011). Accessed online at: http://www.deq.state.or.us/wq/standards/humanhealthrule.htm</w:t>
      </w:r>
    </w:p>
    <w:p w14:paraId="44F9A61C" w14:textId="3F0EFA6F" w:rsidR="00651481" w:rsidRPr="00F314C1" w:rsidRDefault="00651481" w:rsidP="005C66DD">
      <w:pPr>
        <w:ind w:left="720" w:hanging="720"/>
        <w:rPr>
          <w:rFonts w:asciiTheme="minorHAnsi" w:hAnsiTheme="minorHAnsi"/>
          <w:sz w:val="24"/>
          <w:szCs w:val="24"/>
        </w:rPr>
      </w:pPr>
      <w:r w:rsidRPr="00F314C1">
        <w:rPr>
          <w:rFonts w:asciiTheme="minorHAnsi" w:hAnsiTheme="minorHAnsi"/>
          <w:sz w:val="24"/>
          <w:szCs w:val="24"/>
        </w:rPr>
        <w:t xml:space="preserve">Pennsylvania State University (Penn State). (2014). STAT 509 – Design and Analysis of Clinical Trials: </w:t>
      </w:r>
      <w:proofErr w:type="spellStart"/>
      <w:r w:rsidRPr="00F314C1">
        <w:rPr>
          <w:rFonts w:asciiTheme="minorHAnsi" w:hAnsiTheme="minorHAnsi"/>
          <w:sz w:val="24"/>
          <w:szCs w:val="24"/>
        </w:rPr>
        <w:t>Lession</w:t>
      </w:r>
      <w:proofErr w:type="spellEnd"/>
      <w:r w:rsidRPr="00F314C1">
        <w:rPr>
          <w:rFonts w:asciiTheme="minorHAnsi" w:hAnsiTheme="minorHAnsi"/>
          <w:sz w:val="24"/>
          <w:szCs w:val="24"/>
        </w:rPr>
        <w:t xml:space="preserve"> 4 Bias and Random Error. Department of Statistics. Accessed online at: https://onlinecourses.science.psu.edu/stat509/node/26</w:t>
      </w:r>
    </w:p>
    <w:p w14:paraId="6498809A" w14:textId="77777777" w:rsidR="00461C9D" w:rsidRPr="00F314C1" w:rsidRDefault="00461C9D" w:rsidP="005C66DD">
      <w:pPr>
        <w:ind w:left="720" w:hanging="720"/>
        <w:rPr>
          <w:rFonts w:asciiTheme="minorHAnsi" w:hAnsiTheme="minorHAnsi"/>
          <w:sz w:val="24"/>
          <w:szCs w:val="24"/>
        </w:rPr>
      </w:pPr>
      <w:proofErr w:type="spellStart"/>
      <w:r w:rsidRPr="00F314C1">
        <w:rPr>
          <w:rFonts w:asciiTheme="minorHAnsi" w:hAnsiTheme="minorHAnsi"/>
          <w:sz w:val="24"/>
          <w:szCs w:val="24"/>
        </w:rPr>
        <w:t>Seldovia</w:t>
      </w:r>
      <w:proofErr w:type="spellEnd"/>
      <w:r w:rsidRPr="00F314C1">
        <w:rPr>
          <w:rFonts w:asciiTheme="minorHAnsi" w:hAnsiTheme="minorHAnsi"/>
          <w:sz w:val="24"/>
          <w:szCs w:val="24"/>
        </w:rPr>
        <w:t xml:space="preserve"> Village Tribe. (2013). Assessment of Cook Inlet Tribes Subsistence Consumption.</w:t>
      </w:r>
    </w:p>
    <w:p w14:paraId="6498809B" w14:textId="3B431622" w:rsidR="005C66DD" w:rsidRPr="00F314C1" w:rsidRDefault="005C66DD" w:rsidP="005C66DD">
      <w:pPr>
        <w:ind w:left="720" w:hanging="720"/>
        <w:rPr>
          <w:rFonts w:asciiTheme="minorHAnsi" w:hAnsiTheme="minorHAnsi"/>
          <w:sz w:val="24"/>
          <w:szCs w:val="24"/>
        </w:rPr>
      </w:pPr>
      <w:r w:rsidRPr="00F314C1">
        <w:rPr>
          <w:rFonts w:asciiTheme="minorHAnsi" w:hAnsiTheme="minorHAnsi"/>
          <w:sz w:val="24"/>
          <w:szCs w:val="24"/>
        </w:rPr>
        <w:t>State of Washington, Department of Ecology (</w:t>
      </w:r>
      <w:r w:rsidR="00162684" w:rsidRPr="00F314C1">
        <w:rPr>
          <w:rFonts w:asciiTheme="minorHAnsi" w:hAnsiTheme="minorHAnsi"/>
          <w:sz w:val="24"/>
          <w:szCs w:val="24"/>
        </w:rPr>
        <w:t>Ecology</w:t>
      </w:r>
      <w:r w:rsidRPr="00F314C1">
        <w:rPr>
          <w:rFonts w:asciiTheme="minorHAnsi" w:hAnsiTheme="minorHAnsi"/>
          <w:sz w:val="24"/>
          <w:szCs w:val="24"/>
        </w:rPr>
        <w:t>). (2013). Fish Consumption Rates – Technical Support Document: A Review of Data and Information about Fish Consumption in Washington. Version 2.0 Final. Publication No. 12-09-058.</w:t>
      </w:r>
    </w:p>
    <w:p w14:paraId="74CC31AB" w14:textId="56EE8ABD" w:rsidR="008160AF" w:rsidRPr="00F314C1" w:rsidRDefault="008160AF" w:rsidP="00D57FF6">
      <w:pPr>
        <w:keepNext/>
        <w:keepLines/>
        <w:ind w:left="720" w:hanging="720"/>
        <w:rPr>
          <w:rFonts w:asciiTheme="minorHAnsi" w:hAnsiTheme="minorHAnsi"/>
          <w:i/>
          <w:sz w:val="24"/>
          <w:szCs w:val="24"/>
        </w:rPr>
      </w:pPr>
      <w:r w:rsidRPr="00F314C1">
        <w:rPr>
          <w:rFonts w:asciiTheme="minorHAnsi" w:hAnsiTheme="minorHAnsi"/>
          <w:sz w:val="24"/>
          <w:szCs w:val="24"/>
        </w:rPr>
        <w:t xml:space="preserve">Southwick Associates Inc. and W.J. Romberg, A.E. Bingham, </w:t>
      </w:r>
      <w:proofErr w:type="spellStart"/>
      <w:proofErr w:type="gramStart"/>
      <w:r w:rsidRPr="00F314C1">
        <w:rPr>
          <w:rFonts w:asciiTheme="minorHAnsi" w:hAnsiTheme="minorHAnsi"/>
          <w:sz w:val="24"/>
          <w:szCs w:val="24"/>
        </w:rPr>
        <w:t>G.b</w:t>
      </w:r>
      <w:proofErr w:type="spellEnd"/>
      <w:proofErr w:type="gramEnd"/>
      <w:r w:rsidRPr="00F314C1">
        <w:rPr>
          <w:rFonts w:asciiTheme="minorHAnsi" w:hAnsiTheme="minorHAnsi"/>
          <w:sz w:val="24"/>
          <w:szCs w:val="24"/>
        </w:rPr>
        <w:t>. Jennings, and R.A. Clark</w:t>
      </w:r>
      <w:r w:rsidR="00D044F0" w:rsidRPr="00F314C1">
        <w:rPr>
          <w:rFonts w:asciiTheme="minorHAnsi" w:hAnsiTheme="minorHAnsi"/>
          <w:sz w:val="24"/>
          <w:szCs w:val="24"/>
        </w:rPr>
        <w:t xml:space="preserve">. (2008) </w:t>
      </w:r>
      <w:r w:rsidR="00D044F0" w:rsidRPr="00F314C1">
        <w:rPr>
          <w:rFonts w:asciiTheme="minorHAnsi" w:hAnsiTheme="minorHAnsi"/>
          <w:i/>
          <w:sz w:val="24"/>
          <w:szCs w:val="24"/>
        </w:rPr>
        <w:t xml:space="preserve">Economic Impacts and contributions of </w:t>
      </w:r>
      <w:proofErr w:type="spellStart"/>
      <w:r w:rsidR="00D044F0" w:rsidRPr="00F314C1">
        <w:rPr>
          <w:rFonts w:asciiTheme="minorHAnsi" w:hAnsiTheme="minorHAnsi"/>
          <w:i/>
          <w:sz w:val="24"/>
          <w:szCs w:val="24"/>
        </w:rPr>
        <w:t>sportfishing</w:t>
      </w:r>
      <w:proofErr w:type="spellEnd"/>
      <w:r w:rsidR="00D044F0" w:rsidRPr="00F314C1">
        <w:rPr>
          <w:rFonts w:asciiTheme="minorHAnsi" w:hAnsiTheme="minorHAnsi"/>
          <w:i/>
          <w:sz w:val="24"/>
          <w:szCs w:val="24"/>
        </w:rPr>
        <w:t xml:space="preserve"> in Alaska, 2007. Alaska Department of Fish and Game, Professional Paper No. 08-01, Anchorage</w:t>
      </w:r>
    </w:p>
    <w:p w14:paraId="6498809C" w14:textId="3EAFC9F0" w:rsidR="007241E7" w:rsidRPr="00F314C1" w:rsidRDefault="007241E7" w:rsidP="00D57FF6">
      <w:pPr>
        <w:keepNext/>
        <w:keepLines/>
        <w:ind w:left="720" w:hanging="720"/>
        <w:rPr>
          <w:rFonts w:asciiTheme="minorHAnsi" w:hAnsiTheme="minorHAnsi"/>
          <w:b/>
          <w:bCs/>
          <w:sz w:val="24"/>
          <w:szCs w:val="24"/>
        </w:rPr>
      </w:pPr>
      <w:proofErr w:type="spellStart"/>
      <w:r w:rsidRPr="00F314C1">
        <w:rPr>
          <w:rFonts w:asciiTheme="minorHAnsi" w:hAnsiTheme="minorHAnsi"/>
          <w:sz w:val="24"/>
          <w:szCs w:val="24"/>
        </w:rPr>
        <w:t>Tooze</w:t>
      </w:r>
      <w:proofErr w:type="spellEnd"/>
      <w:r w:rsidRPr="00F314C1">
        <w:rPr>
          <w:rFonts w:asciiTheme="minorHAnsi" w:hAnsiTheme="minorHAnsi"/>
          <w:sz w:val="24"/>
          <w:szCs w:val="24"/>
        </w:rPr>
        <w:t xml:space="preserve">, J.A., </w:t>
      </w:r>
      <w:proofErr w:type="spellStart"/>
      <w:r w:rsidRPr="00F314C1">
        <w:rPr>
          <w:rFonts w:asciiTheme="minorHAnsi" w:hAnsiTheme="minorHAnsi"/>
          <w:sz w:val="24"/>
          <w:szCs w:val="24"/>
        </w:rPr>
        <w:t>Midthune</w:t>
      </w:r>
      <w:proofErr w:type="spellEnd"/>
      <w:r w:rsidRPr="00F314C1">
        <w:rPr>
          <w:rFonts w:asciiTheme="minorHAnsi" w:hAnsiTheme="minorHAnsi"/>
          <w:sz w:val="24"/>
          <w:szCs w:val="24"/>
        </w:rPr>
        <w:t xml:space="preserve">, D., Dodd, K.W., Freedman, L.S., Krebs-Smith, S.M., </w:t>
      </w:r>
      <w:proofErr w:type="spellStart"/>
      <w:r w:rsidRPr="00F314C1">
        <w:rPr>
          <w:rFonts w:asciiTheme="minorHAnsi" w:hAnsiTheme="minorHAnsi"/>
          <w:sz w:val="24"/>
          <w:szCs w:val="24"/>
        </w:rPr>
        <w:t>Subar</w:t>
      </w:r>
      <w:proofErr w:type="spellEnd"/>
      <w:r w:rsidRPr="00F314C1">
        <w:rPr>
          <w:rFonts w:asciiTheme="minorHAnsi" w:hAnsiTheme="minorHAnsi"/>
          <w:sz w:val="24"/>
          <w:szCs w:val="24"/>
        </w:rPr>
        <w:t xml:space="preserve">, A.F., Guenther, P.M., Carroll, R.J. and </w:t>
      </w:r>
      <w:proofErr w:type="spellStart"/>
      <w:r w:rsidRPr="00F314C1">
        <w:rPr>
          <w:rFonts w:asciiTheme="minorHAnsi" w:hAnsiTheme="minorHAnsi"/>
          <w:sz w:val="24"/>
          <w:szCs w:val="24"/>
        </w:rPr>
        <w:t>Kipnis</w:t>
      </w:r>
      <w:proofErr w:type="spellEnd"/>
      <w:r w:rsidRPr="00F314C1">
        <w:rPr>
          <w:rFonts w:asciiTheme="minorHAnsi" w:hAnsiTheme="minorHAnsi"/>
          <w:sz w:val="24"/>
          <w:szCs w:val="24"/>
        </w:rPr>
        <w:t xml:space="preserve">, V. </w:t>
      </w:r>
      <w:r w:rsidR="004C7F33" w:rsidRPr="00F314C1">
        <w:rPr>
          <w:rFonts w:asciiTheme="minorHAnsi" w:hAnsiTheme="minorHAnsi"/>
          <w:sz w:val="24"/>
          <w:szCs w:val="24"/>
        </w:rPr>
        <w:t xml:space="preserve">(2006). </w:t>
      </w:r>
      <w:r w:rsidRPr="00F314C1">
        <w:rPr>
          <w:rFonts w:asciiTheme="minorHAnsi" w:hAnsiTheme="minorHAnsi"/>
          <w:bCs/>
          <w:sz w:val="24"/>
          <w:szCs w:val="24"/>
        </w:rPr>
        <w:t xml:space="preserve">A new method for estimating the usual intake of episodically-consumed foods with application to their distribution. </w:t>
      </w:r>
      <w:r w:rsidRPr="00F314C1">
        <w:rPr>
          <w:rFonts w:asciiTheme="minorHAnsi" w:hAnsiTheme="minorHAnsi"/>
          <w:bCs/>
          <w:i/>
          <w:sz w:val="24"/>
          <w:szCs w:val="24"/>
        </w:rPr>
        <w:t>Journal of the American Dietetic</w:t>
      </w:r>
      <w:r w:rsidRPr="00F314C1">
        <w:rPr>
          <w:rFonts w:asciiTheme="minorHAnsi" w:hAnsiTheme="minorHAnsi"/>
          <w:bCs/>
          <w:sz w:val="24"/>
          <w:szCs w:val="24"/>
        </w:rPr>
        <w:t xml:space="preserve"> Association. 106(10):1575-1587.</w:t>
      </w:r>
    </w:p>
    <w:p w14:paraId="6498809D" w14:textId="77777777" w:rsidR="00461C9D" w:rsidRPr="00F314C1" w:rsidRDefault="00461C9D" w:rsidP="00F069F4">
      <w:pPr>
        <w:ind w:left="720" w:hanging="720"/>
        <w:rPr>
          <w:rFonts w:asciiTheme="minorHAnsi" w:hAnsiTheme="minorHAnsi"/>
          <w:sz w:val="24"/>
          <w:szCs w:val="24"/>
        </w:rPr>
      </w:pPr>
      <w:r w:rsidRPr="00F314C1">
        <w:rPr>
          <w:rFonts w:asciiTheme="minorHAnsi" w:hAnsiTheme="minorHAnsi"/>
          <w:sz w:val="24"/>
          <w:szCs w:val="24"/>
        </w:rPr>
        <w:t xml:space="preserve">U.S. Department of Energy. (2013). Amchitka Island, Alaska, Biological Monitoring Report 2011 Sampling Results. </w:t>
      </w:r>
    </w:p>
    <w:p w14:paraId="6498809E" w14:textId="647DB3BE" w:rsidR="00DB32C6" w:rsidRPr="00F314C1" w:rsidRDefault="00DB32C6" w:rsidP="00DB32C6">
      <w:pPr>
        <w:autoSpaceDE w:val="0"/>
        <w:autoSpaceDN w:val="0"/>
        <w:adjustRightInd w:val="0"/>
        <w:spacing w:before="0" w:after="0" w:line="240" w:lineRule="auto"/>
        <w:rPr>
          <w:rFonts w:asciiTheme="minorHAnsi" w:hAnsiTheme="minorHAnsi"/>
          <w:sz w:val="24"/>
          <w:szCs w:val="24"/>
        </w:rPr>
      </w:pPr>
      <w:r w:rsidRPr="00F314C1">
        <w:rPr>
          <w:rFonts w:asciiTheme="minorHAnsi" w:hAnsiTheme="minorHAnsi"/>
          <w:sz w:val="24"/>
          <w:szCs w:val="24"/>
        </w:rPr>
        <w:t>Willett</w:t>
      </w:r>
      <w:r w:rsidR="00DC16E2" w:rsidRPr="00F314C1">
        <w:rPr>
          <w:rFonts w:asciiTheme="minorHAnsi" w:hAnsiTheme="minorHAnsi"/>
          <w:sz w:val="24"/>
          <w:szCs w:val="24"/>
        </w:rPr>
        <w:t>,</w:t>
      </w:r>
      <w:r w:rsidRPr="00F314C1">
        <w:rPr>
          <w:rFonts w:asciiTheme="minorHAnsi" w:hAnsiTheme="minorHAnsi"/>
          <w:sz w:val="24"/>
          <w:szCs w:val="24"/>
        </w:rPr>
        <w:t xml:space="preserve"> W. </w:t>
      </w:r>
      <w:r w:rsidR="004C7F33" w:rsidRPr="00F314C1">
        <w:rPr>
          <w:rFonts w:asciiTheme="minorHAnsi" w:hAnsiTheme="minorHAnsi"/>
          <w:sz w:val="24"/>
          <w:szCs w:val="24"/>
        </w:rPr>
        <w:t xml:space="preserve">(1998). </w:t>
      </w:r>
      <w:r w:rsidRPr="00F314C1">
        <w:rPr>
          <w:rFonts w:asciiTheme="minorHAnsi" w:hAnsiTheme="minorHAnsi"/>
          <w:sz w:val="24"/>
          <w:szCs w:val="24"/>
        </w:rPr>
        <w:t xml:space="preserve">Nutritional epidemiology. 2nd </w:t>
      </w:r>
      <w:proofErr w:type="gramStart"/>
      <w:r w:rsidRPr="00F314C1">
        <w:rPr>
          <w:rFonts w:asciiTheme="minorHAnsi" w:hAnsiTheme="minorHAnsi"/>
          <w:sz w:val="24"/>
          <w:szCs w:val="24"/>
        </w:rPr>
        <w:t>ed</w:t>
      </w:r>
      <w:proofErr w:type="gramEnd"/>
      <w:r w:rsidRPr="00F314C1">
        <w:rPr>
          <w:rFonts w:asciiTheme="minorHAnsi" w:hAnsiTheme="minorHAnsi"/>
          <w:sz w:val="24"/>
          <w:szCs w:val="24"/>
        </w:rPr>
        <w:t>. New York: Oxford University Press; 1998. 514 pp.</w:t>
      </w:r>
    </w:p>
    <w:p w14:paraId="6498809F" w14:textId="5E24363C" w:rsidR="00461C9D" w:rsidRPr="00F314C1" w:rsidRDefault="00461C9D" w:rsidP="00461C9D">
      <w:pPr>
        <w:ind w:left="720" w:hanging="720"/>
        <w:rPr>
          <w:rFonts w:asciiTheme="minorHAnsi" w:hAnsiTheme="minorHAnsi"/>
          <w:sz w:val="24"/>
          <w:szCs w:val="24"/>
        </w:rPr>
      </w:pPr>
      <w:r w:rsidRPr="00F314C1">
        <w:rPr>
          <w:rFonts w:asciiTheme="minorHAnsi" w:hAnsiTheme="minorHAnsi"/>
          <w:sz w:val="24"/>
          <w:szCs w:val="24"/>
        </w:rPr>
        <w:t xml:space="preserve">Wolfe, R.J. &amp; </w:t>
      </w:r>
      <w:proofErr w:type="spellStart"/>
      <w:r w:rsidR="00257222" w:rsidRPr="00F314C1">
        <w:rPr>
          <w:rFonts w:asciiTheme="minorHAnsi" w:hAnsiTheme="minorHAnsi"/>
          <w:sz w:val="24"/>
          <w:szCs w:val="24"/>
        </w:rPr>
        <w:t>Ut</w:t>
      </w:r>
      <w:r w:rsidRPr="00F314C1">
        <w:rPr>
          <w:rFonts w:asciiTheme="minorHAnsi" w:hAnsiTheme="minorHAnsi"/>
          <w:sz w:val="24"/>
          <w:szCs w:val="24"/>
        </w:rPr>
        <w:t>ermohle</w:t>
      </w:r>
      <w:proofErr w:type="spellEnd"/>
      <w:r w:rsidR="00DC16E2" w:rsidRPr="00F314C1">
        <w:rPr>
          <w:rFonts w:asciiTheme="minorHAnsi" w:hAnsiTheme="minorHAnsi"/>
          <w:sz w:val="24"/>
          <w:szCs w:val="24"/>
        </w:rPr>
        <w:t>,</w:t>
      </w:r>
      <w:r w:rsidRPr="00F314C1">
        <w:rPr>
          <w:rFonts w:asciiTheme="minorHAnsi" w:hAnsiTheme="minorHAnsi"/>
          <w:sz w:val="24"/>
          <w:szCs w:val="24"/>
        </w:rPr>
        <w:t xml:space="preserve"> C.J. (2000). Wild Food Consumption Rate Estimates for Rural Alaska Populations. A</w:t>
      </w:r>
      <w:r w:rsidR="004C7F33" w:rsidRPr="00F314C1">
        <w:rPr>
          <w:rFonts w:asciiTheme="minorHAnsi" w:hAnsiTheme="minorHAnsi"/>
          <w:sz w:val="24"/>
          <w:szCs w:val="24"/>
        </w:rPr>
        <w:t>laska Department of Fish and Game, Division of Subsistence -</w:t>
      </w:r>
      <w:r w:rsidRPr="00F314C1">
        <w:rPr>
          <w:rFonts w:asciiTheme="minorHAnsi" w:hAnsiTheme="minorHAnsi"/>
          <w:sz w:val="24"/>
          <w:szCs w:val="24"/>
        </w:rPr>
        <w:t xml:space="preserve"> Technical Paper No. 261.</w:t>
      </w:r>
      <w:r w:rsidR="004C7F33" w:rsidRPr="00F314C1">
        <w:rPr>
          <w:rFonts w:asciiTheme="minorHAnsi" w:hAnsiTheme="minorHAnsi"/>
          <w:sz w:val="24"/>
          <w:szCs w:val="24"/>
        </w:rPr>
        <w:t xml:space="preserve"> Prepared for the Alaska Department of Conservation, Contaminated Sites Program. </w:t>
      </w:r>
      <w:r w:rsidR="004C7F33" w:rsidRPr="00F314C1">
        <w:rPr>
          <w:rFonts w:asciiTheme="minorHAnsi" w:hAnsiTheme="minorHAnsi"/>
          <w:i/>
          <w:sz w:val="24"/>
          <w:szCs w:val="24"/>
        </w:rPr>
        <w:t>ADN No. 1800086.</w:t>
      </w:r>
      <w:r w:rsidR="004C7F33" w:rsidRPr="00F314C1">
        <w:rPr>
          <w:rFonts w:asciiTheme="minorHAnsi" w:hAnsiTheme="minorHAnsi"/>
          <w:sz w:val="24"/>
          <w:szCs w:val="24"/>
        </w:rPr>
        <w:t xml:space="preserve"> June 2000.</w:t>
      </w:r>
    </w:p>
    <w:p w14:paraId="649880A0" w14:textId="77777777" w:rsidR="00461C9D" w:rsidRPr="00F314C1" w:rsidRDefault="00461C9D" w:rsidP="00461C9D">
      <w:pPr>
        <w:ind w:left="720" w:hanging="720"/>
        <w:rPr>
          <w:sz w:val="24"/>
          <w:szCs w:val="24"/>
        </w:rPr>
      </w:pPr>
    </w:p>
    <w:p w14:paraId="649880A1" w14:textId="77777777" w:rsidR="00DD4E1D" w:rsidRPr="000333FC" w:rsidRDefault="00DD4E1D" w:rsidP="00DB1DA1">
      <w:pPr>
        <w:spacing w:before="0" w:line="276" w:lineRule="auto"/>
      </w:pPr>
    </w:p>
    <w:sectPr w:rsidR="00DD4E1D" w:rsidRPr="000333FC" w:rsidSect="00002099">
      <w:headerReference w:type="default" r:id="rId30"/>
      <w:footerReference w:type="default" r:id="rId31"/>
      <w:footnotePr>
        <w:numFmt w:val="chicago"/>
      </w:footnotePr>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5A503E" w14:textId="77777777" w:rsidR="00D16DD4" w:rsidRDefault="00D16DD4" w:rsidP="00723A3A">
      <w:pPr>
        <w:spacing w:after="0"/>
      </w:pPr>
      <w:r>
        <w:separator/>
      </w:r>
    </w:p>
  </w:endnote>
  <w:endnote w:type="continuationSeparator" w:id="0">
    <w:p w14:paraId="6A8224F0" w14:textId="77777777" w:rsidR="00D16DD4" w:rsidRDefault="00D16DD4" w:rsidP="00723A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dvTT6120e2aa">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TimesNewRomanPS-Italic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rPr>
      <w:id w:val="1254973440"/>
      <w:docPartObj>
        <w:docPartGallery w:val="Page Numbers (Bottom of Page)"/>
        <w:docPartUnique/>
      </w:docPartObj>
    </w:sdtPr>
    <w:sdtEndPr/>
    <w:sdtContent>
      <w:p w14:paraId="649880D4" w14:textId="2A178154" w:rsidR="00D16DD4" w:rsidRPr="00F46C84" w:rsidRDefault="00D16DD4">
        <w:pPr>
          <w:pStyle w:val="Footer"/>
          <w:jc w:val="right"/>
          <w:rPr>
            <w:rFonts w:asciiTheme="minorHAnsi" w:hAnsiTheme="minorHAnsi"/>
          </w:rPr>
        </w:pPr>
        <w:r>
          <w:rPr>
            <w:rFonts w:asciiTheme="minorHAnsi" w:hAnsiTheme="minorHAnsi"/>
          </w:rPr>
          <w:t>June 2015</w:t>
        </w:r>
        <w:r w:rsidRPr="00F46C84">
          <w:rPr>
            <w:rFonts w:asciiTheme="minorHAnsi" w:hAnsiTheme="minorHAnsi"/>
          </w:rPr>
          <w:tab/>
        </w:r>
        <w:r w:rsidRPr="00F46C84">
          <w:rPr>
            <w:rFonts w:asciiTheme="minorHAnsi" w:hAnsiTheme="minorHAnsi"/>
          </w:rPr>
          <w:tab/>
          <w:t xml:space="preserve"> </w:t>
        </w:r>
        <w:r w:rsidRPr="00F46C84">
          <w:rPr>
            <w:rFonts w:asciiTheme="minorHAnsi" w:hAnsiTheme="minorHAnsi"/>
          </w:rPr>
          <w:fldChar w:fldCharType="begin"/>
        </w:r>
        <w:r w:rsidRPr="00F46C84">
          <w:rPr>
            <w:rFonts w:asciiTheme="minorHAnsi" w:hAnsiTheme="minorHAnsi"/>
          </w:rPr>
          <w:instrText xml:space="preserve"> PAGE   \* MERGEFORMAT </w:instrText>
        </w:r>
        <w:r w:rsidRPr="00F46C84">
          <w:rPr>
            <w:rFonts w:asciiTheme="minorHAnsi" w:hAnsiTheme="minorHAnsi"/>
          </w:rPr>
          <w:fldChar w:fldCharType="separate"/>
        </w:r>
        <w:r w:rsidR="0030235A">
          <w:rPr>
            <w:rFonts w:asciiTheme="minorHAnsi" w:hAnsiTheme="minorHAnsi"/>
            <w:noProof/>
          </w:rPr>
          <w:t>15</w:t>
        </w:r>
        <w:r w:rsidRPr="00F46C84">
          <w:rPr>
            <w:rFonts w:asciiTheme="minorHAnsi" w:hAnsiTheme="minorHAnsi"/>
            <w:noProof/>
          </w:rPr>
          <w:fldChar w:fldCharType="end"/>
        </w:r>
        <w:r w:rsidRPr="00F46C84">
          <w:rPr>
            <w:rFonts w:asciiTheme="minorHAnsi" w:hAnsiTheme="minorHAnsi"/>
          </w:rPr>
          <w:t xml:space="preserve"> </w:t>
        </w:r>
      </w:p>
    </w:sdtContent>
  </w:sdt>
  <w:p w14:paraId="649880D5" w14:textId="77777777" w:rsidR="00D16DD4" w:rsidRDefault="00D16D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rPr>
      <w:id w:val="560298171"/>
      <w:docPartObj>
        <w:docPartGallery w:val="Page Numbers (Bottom of Page)"/>
        <w:docPartUnique/>
      </w:docPartObj>
    </w:sdtPr>
    <w:sdtEndPr/>
    <w:sdtContent>
      <w:p w14:paraId="42BF038D" w14:textId="1284ACB9" w:rsidR="00D16DD4" w:rsidRPr="00F46C84" w:rsidRDefault="00D16DD4" w:rsidP="0050225D">
        <w:pPr>
          <w:pStyle w:val="Footer"/>
          <w:rPr>
            <w:rFonts w:asciiTheme="minorHAnsi" w:hAnsiTheme="minorHAnsi"/>
          </w:rPr>
        </w:pPr>
        <w:r>
          <w:rPr>
            <w:rFonts w:asciiTheme="minorHAnsi" w:hAnsiTheme="minorHAnsi"/>
          </w:rPr>
          <w:t>December 2014</w:t>
        </w:r>
        <w:r w:rsidRPr="00F46C84">
          <w:rPr>
            <w:rFonts w:asciiTheme="minorHAnsi" w:hAnsiTheme="minorHAnsi"/>
          </w:rPr>
          <w:tab/>
        </w:r>
        <w:r w:rsidRPr="00F46C84">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F46C84">
          <w:rPr>
            <w:rFonts w:asciiTheme="minorHAnsi" w:hAnsiTheme="minorHAnsi"/>
          </w:rPr>
          <w:t xml:space="preserve"> </w:t>
        </w:r>
        <w:r w:rsidRPr="00F46C84">
          <w:rPr>
            <w:rFonts w:asciiTheme="minorHAnsi" w:hAnsiTheme="minorHAnsi"/>
          </w:rPr>
          <w:fldChar w:fldCharType="begin"/>
        </w:r>
        <w:r w:rsidRPr="00F46C84">
          <w:rPr>
            <w:rFonts w:asciiTheme="minorHAnsi" w:hAnsiTheme="minorHAnsi"/>
          </w:rPr>
          <w:instrText xml:space="preserve"> PAGE   \* MERGEFORMAT </w:instrText>
        </w:r>
        <w:r w:rsidRPr="00F46C84">
          <w:rPr>
            <w:rFonts w:asciiTheme="minorHAnsi" w:hAnsiTheme="minorHAnsi"/>
          </w:rPr>
          <w:fldChar w:fldCharType="separate"/>
        </w:r>
        <w:r w:rsidR="0030235A">
          <w:rPr>
            <w:rFonts w:asciiTheme="minorHAnsi" w:hAnsiTheme="minorHAnsi"/>
            <w:noProof/>
          </w:rPr>
          <w:t>17</w:t>
        </w:r>
        <w:r w:rsidRPr="00F46C84">
          <w:rPr>
            <w:rFonts w:asciiTheme="minorHAnsi" w:hAnsiTheme="minorHAnsi"/>
            <w:noProof/>
          </w:rPr>
          <w:fldChar w:fldCharType="end"/>
        </w:r>
        <w:r w:rsidRPr="00F46C84">
          <w:rPr>
            <w:rFonts w:asciiTheme="minorHAnsi" w:hAnsiTheme="minorHAnsi"/>
          </w:rPr>
          <w:t xml:space="preserve"> </w:t>
        </w:r>
      </w:p>
    </w:sdtContent>
  </w:sdt>
  <w:p w14:paraId="34F7FD88" w14:textId="77777777" w:rsidR="00D16DD4" w:rsidRDefault="00D16D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rPr>
      <w:id w:val="-1462871130"/>
      <w:docPartObj>
        <w:docPartGallery w:val="Page Numbers (Bottom of Page)"/>
        <w:docPartUnique/>
      </w:docPartObj>
    </w:sdtPr>
    <w:sdtEndPr/>
    <w:sdtContent>
      <w:p w14:paraId="26060DE5" w14:textId="35B84A26" w:rsidR="00D16DD4" w:rsidRPr="00F46C84" w:rsidRDefault="00D16DD4" w:rsidP="0050225D">
        <w:pPr>
          <w:pStyle w:val="Footer"/>
          <w:rPr>
            <w:rFonts w:asciiTheme="minorHAnsi" w:hAnsiTheme="minorHAnsi"/>
          </w:rPr>
        </w:pPr>
        <w:r>
          <w:rPr>
            <w:rFonts w:asciiTheme="minorHAnsi" w:hAnsiTheme="minorHAnsi"/>
          </w:rPr>
          <w:t>October 2015</w:t>
        </w:r>
        <w:r>
          <w:rPr>
            <w:rFonts w:asciiTheme="minorHAnsi" w:hAnsiTheme="minorHAnsi"/>
          </w:rPr>
          <w:tab/>
        </w:r>
        <w:r>
          <w:rPr>
            <w:rFonts w:asciiTheme="minorHAnsi" w:hAnsiTheme="minorHAnsi"/>
          </w:rPr>
          <w:tab/>
        </w:r>
        <w:r w:rsidRPr="00F46C84">
          <w:rPr>
            <w:rFonts w:asciiTheme="minorHAnsi" w:hAnsiTheme="minorHAnsi"/>
          </w:rPr>
          <w:t xml:space="preserve"> </w:t>
        </w:r>
        <w:r w:rsidRPr="00F46C84">
          <w:rPr>
            <w:rFonts w:asciiTheme="minorHAnsi" w:hAnsiTheme="minorHAnsi"/>
          </w:rPr>
          <w:fldChar w:fldCharType="begin"/>
        </w:r>
        <w:r w:rsidRPr="00F46C84">
          <w:rPr>
            <w:rFonts w:asciiTheme="minorHAnsi" w:hAnsiTheme="minorHAnsi"/>
          </w:rPr>
          <w:instrText xml:space="preserve"> PAGE   \* MERGEFORMAT </w:instrText>
        </w:r>
        <w:r w:rsidRPr="00F46C84">
          <w:rPr>
            <w:rFonts w:asciiTheme="minorHAnsi" w:hAnsiTheme="minorHAnsi"/>
          </w:rPr>
          <w:fldChar w:fldCharType="separate"/>
        </w:r>
        <w:r w:rsidR="0030235A">
          <w:rPr>
            <w:rFonts w:asciiTheme="minorHAnsi" w:hAnsiTheme="minorHAnsi"/>
            <w:noProof/>
          </w:rPr>
          <w:t>21</w:t>
        </w:r>
        <w:r w:rsidRPr="00F46C84">
          <w:rPr>
            <w:rFonts w:asciiTheme="minorHAnsi" w:hAnsiTheme="minorHAnsi"/>
            <w:noProof/>
          </w:rPr>
          <w:fldChar w:fldCharType="end"/>
        </w:r>
        <w:r w:rsidRPr="00F46C84">
          <w:rPr>
            <w:rFonts w:asciiTheme="minorHAnsi" w:hAnsiTheme="minorHAnsi"/>
          </w:rPr>
          <w:t xml:space="preserve"> </w:t>
        </w:r>
      </w:p>
    </w:sdtContent>
  </w:sdt>
  <w:p w14:paraId="514FBF17" w14:textId="77777777" w:rsidR="00D16DD4" w:rsidRDefault="00D16D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929093" w14:textId="77777777" w:rsidR="00D16DD4" w:rsidRDefault="00D16DD4" w:rsidP="00723A3A">
      <w:pPr>
        <w:spacing w:after="0"/>
      </w:pPr>
      <w:r>
        <w:separator/>
      </w:r>
    </w:p>
  </w:footnote>
  <w:footnote w:type="continuationSeparator" w:id="0">
    <w:p w14:paraId="6868ED46" w14:textId="77777777" w:rsidR="00D16DD4" w:rsidRDefault="00D16DD4" w:rsidP="00723A3A">
      <w:pPr>
        <w:spacing w:after="0"/>
      </w:pPr>
      <w:r>
        <w:continuationSeparator/>
      </w:r>
    </w:p>
  </w:footnote>
  <w:footnote w:id="1">
    <w:p w14:paraId="1365C6C4" w14:textId="2E017D8D" w:rsidR="00D16DD4" w:rsidRDefault="00D16DD4">
      <w:pPr>
        <w:pStyle w:val="FootnoteText"/>
      </w:pPr>
      <w:r>
        <w:rPr>
          <w:rStyle w:val="FootnoteReference"/>
        </w:rPr>
        <w:footnoteRef/>
      </w:r>
      <w:r>
        <w:t xml:space="preserve"> In most places in this document, unless noted otherwise, aquatic life (fish) refers to both finfish and shellfish.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3ACEB" w14:textId="77777777" w:rsidR="00D16DD4" w:rsidRPr="000E2D43" w:rsidRDefault="00D16DD4" w:rsidP="00703C71">
    <w:pPr>
      <w:pStyle w:val="Header"/>
      <w:jc w:val="center"/>
      <w:rPr>
        <w:rFonts w:asciiTheme="minorHAnsi" w:hAnsiTheme="minorHAnsi"/>
        <w:b/>
        <w:color w:val="FF0000"/>
        <w:sz w:val="24"/>
        <w:szCs w:val="24"/>
      </w:rPr>
    </w:pPr>
    <w:r w:rsidRPr="000E2D43">
      <w:rPr>
        <w:rFonts w:asciiTheme="minorHAnsi" w:hAnsiTheme="minorHAnsi"/>
        <w:b/>
        <w:color w:val="FF0000"/>
        <w:sz w:val="24"/>
        <w:szCs w:val="24"/>
      </w:rPr>
      <w:t>DRAFT</w:t>
    </w:r>
  </w:p>
  <w:p w14:paraId="658D2CFD" w14:textId="5E175CB4" w:rsidR="00D16DD4" w:rsidRPr="000E2D43" w:rsidRDefault="00D16DD4" w:rsidP="00703C71">
    <w:pPr>
      <w:pStyle w:val="Header"/>
      <w:jc w:val="center"/>
      <w:rPr>
        <w:rFonts w:asciiTheme="minorHAnsi" w:hAnsiTheme="minorHAnsi"/>
        <w:b/>
        <w:color w:val="FF0000"/>
        <w:sz w:val="24"/>
        <w:szCs w:val="24"/>
      </w:rPr>
    </w:pPr>
    <w:r w:rsidRPr="000E2D43">
      <w:rPr>
        <w:rFonts w:asciiTheme="minorHAnsi" w:hAnsiTheme="minorHAnsi"/>
        <w:b/>
        <w:color w:val="FF0000"/>
        <w:sz w:val="24"/>
        <w:szCs w:val="24"/>
      </w:rPr>
      <w:t>Internal Deliberative - Do not cite, quote, or distribute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4871D" w14:textId="51D2E780" w:rsidR="00D16DD4" w:rsidRDefault="00D16DD4" w:rsidP="00703C71">
    <w:pPr>
      <w:pStyle w:val="Header"/>
      <w:jc w:val="center"/>
      <w:rPr>
        <w:rFonts w:asciiTheme="minorHAnsi" w:hAnsiTheme="minorHAnsi"/>
        <w:b/>
        <w:color w:val="FF0000"/>
        <w:sz w:val="28"/>
        <w:szCs w:val="28"/>
      </w:rPr>
    </w:pPr>
    <w:r>
      <w:rPr>
        <w:rFonts w:asciiTheme="minorHAnsi" w:hAnsiTheme="minorHAnsi"/>
        <w:b/>
        <w:color w:val="FF0000"/>
        <w:sz w:val="28"/>
        <w:szCs w:val="28"/>
      </w:rPr>
      <w:t>DRAFT</w:t>
    </w:r>
  </w:p>
  <w:p w14:paraId="683E64FC" w14:textId="014EB675" w:rsidR="00D16DD4" w:rsidRPr="00703C71" w:rsidRDefault="00D16DD4" w:rsidP="00703C71">
    <w:pPr>
      <w:pStyle w:val="Header"/>
      <w:jc w:val="center"/>
      <w:rPr>
        <w:rFonts w:asciiTheme="minorHAnsi" w:hAnsiTheme="minorHAnsi"/>
        <w:b/>
        <w:color w:val="FF0000"/>
        <w:sz w:val="28"/>
        <w:szCs w:val="28"/>
      </w:rPr>
    </w:pPr>
    <w:r w:rsidRPr="00703C71">
      <w:rPr>
        <w:rFonts w:asciiTheme="minorHAnsi" w:hAnsiTheme="minorHAnsi"/>
        <w:b/>
        <w:color w:val="FF0000"/>
        <w:sz w:val="28"/>
        <w:szCs w:val="28"/>
      </w:rPr>
      <w:t>Internal Deliberative</w:t>
    </w:r>
    <w:r>
      <w:rPr>
        <w:rFonts w:asciiTheme="minorHAnsi" w:hAnsiTheme="minorHAnsi"/>
        <w:b/>
        <w:color w:val="FF0000"/>
        <w:sz w:val="28"/>
        <w:szCs w:val="28"/>
      </w:rPr>
      <w:t xml:space="preserve"> </w:t>
    </w:r>
    <w:r w:rsidRPr="00703C71">
      <w:rPr>
        <w:rFonts w:asciiTheme="minorHAnsi" w:hAnsiTheme="minorHAnsi"/>
        <w:b/>
        <w:color w:val="FF0000"/>
        <w:sz w:val="28"/>
        <w:szCs w:val="28"/>
      </w:rPr>
      <w:t xml:space="preserve">- </w:t>
    </w:r>
    <w:r>
      <w:rPr>
        <w:rFonts w:asciiTheme="minorHAnsi" w:hAnsiTheme="minorHAnsi"/>
        <w:b/>
        <w:color w:val="FF0000"/>
        <w:sz w:val="28"/>
        <w:szCs w:val="28"/>
      </w:rPr>
      <w:t>D</w:t>
    </w:r>
    <w:r w:rsidRPr="00703C71">
      <w:rPr>
        <w:rFonts w:asciiTheme="minorHAnsi" w:hAnsiTheme="minorHAnsi"/>
        <w:b/>
        <w:color w:val="FF0000"/>
        <w:sz w:val="28"/>
        <w:szCs w:val="28"/>
      </w:rPr>
      <w:t>o not cite, quote, or distribute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37DC3" w14:textId="77777777" w:rsidR="00D16DD4" w:rsidRPr="00844B4C" w:rsidRDefault="00D16DD4" w:rsidP="00703C71">
    <w:pPr>
      <w:pStyle w:val="Header"/>
      <w:jc w:val="center"/>
      <w:rPr>
        <w:rFonts w:asciiTheme="minorHAnsi" w:hAnsiTheme="minorHAnsi"/>
        <w:b/>
        <w:color w:val="FF0000"/>
        <w:sz w:val="20"/>
        <w:szCs w:val="20"/>
      </w:rPr>
    </w:pPr>
    <w:r w:rsidRPr="00844B4C">
      <w:rPr>
        <w:rFonts w:asciiTheme="minorHAnsi" w:hAnsiTheme="minorHAnsi"/>
        <w:b/>
        <w:color w:val="FF0000"/>
        <w:sz w:val="20"/>
        <w:szCs w:val="20"/>
      </w:rPr>
      <w:t>DRAFT</w:t>
    </w:r>
  </w:p>
  <w:p w14:paraId="621C9873" w14:textId="77777777" w:rsidR="00D16DD4" w:rsidRPr="00844B4C" w:rsidRDefault="00D16DD4" w:rsidP="00703C71">
    <w:pPr>
      <w:pStyle w:val="Header"/>
      <w:jc w:val="center"/>
      <w:rPr>
        <w:rFonts w:asciiTheme="minorHAnsi" w:hAnsiTheme="minorHAnsi"/>
        <w:b/>
        <w:color w:val="FF0000"/>
        <w:sz w:val="20"/>
        <w:szCs w:val="20"/>
      </w:rPr>
    </w:pPr>
    <w:r w:rsidRPr="00844B4C">
      <w:rPr>
        <w:rFonts w:asciiTheme="minorHAnsi" w:hAnsiTheme="minorHAnsi"/>
        <w:b/>
        <w:color w:val="FF0000"/>
        <w:sz w:val="20"/>
        <w:szCs w:val="20"/>
      </w:rPr>
      <w:t>Internal Deliberative - Do not cite, quote, or distribute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5EB39" w14:textId="77777777" w:rsidR="00D16DD4" w:rsidRPr="000E2D43" w:rsidRDefault="00D16DD4" w:rsidP="00703C71">
    <w:pPr>
      <w:pStyle w:val="Header"/>
      <w:jc w:val="center"/>
      <w:rPr>
        <w:rFonts w:asciiTheme="minorHAnsi" w:hAnsiTheme="minorHAnsi"/>
        <w:b/>
        <w:color w:val="FF0000"/>
        <w:sz w:val="24"/>
        <w:szCs w:val="24"/>
      </w:rPr>
    </w:pPr>
    <w:r w:rsidRPr="000E2D43">
      <w:rPr>
        <w:rFonts w:asciiTheme="minorHAnsi" w:hAnsiTheme="minorHAnsi"/>
        <w:b/>
        <w:color w:val="FF0000"/>
        <w:sz w:val="24"/>
        <w:szCs w:val="24"/>
      </w:rPr>
      <w:t>DRAFT</w:t>
    </w:r>
  </w:p>
  <w:p w14:paraId="776DA1FA" w14:textId="77777777" w:rsidR="00D16DD4" w:rsidRPr="000E2D43" w:rsidRDefault="00D16DD4" w:rsidP="00703C71">
    <w:pPr>
      <w:pStyle w:val="Header"/>
      <w:jc w:val="center"/>
      <w:rPr>
        <w:rFonts w:asciiTheme="minorHAnsi" w:hAnsiTheme="minorHAnsi"/>
        <w:b/>
        <w:color w:val="FF0000"/>
        <w:sz w:val="24"/>
        <w:szCs w:val="24"/>
      </w:rPr>
    </w:pPr>
    <w:r w:rsidRPr="000E2D43">
      <w:rPr>
        <w:rFonts w:asciiTheme="minorHAnsi" w:hAnsiTheme="minorHAnsi"/>
        <w:b/>
        <w:color w:val="FF0000"/>
        <w:sz w:val="24"/>
        <w:szCs w:val="24"/>
      </w:rPr>
      <w:t>Internal Deliberative - Do not cite, quote, or distribute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F2F0E"/>
    <w:multiLevelType w:val="hybridMultilevel"/>
    <w:tmpl w:val="CA78E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41EBB"/>
    <w:multiLevelType w:val="hybridMultilevel"/>
    <w:tmpl w:val="3E744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1A4E31"/>
    <w:multiLevelType w:val="hybridMultilevel"/>
    <w:tmpl w:val="E3329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35216"/>
    <w:multiLevelType w:val="hybridMultilevel"/>
    <w:tmpl w:val="C3507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D7B60"/>
    <w:multiLevelType w:val="hybridMultilevel"/>
    <w:tmpl w:val="B3568D08"/>
    <w:lvl w:ilvl="0" w:tplc="0AF0F23A">
      <w:start w:val="1"/>
      <w:numFmt w:val="bullet"/>
      <w:lvlText w:val="•"/>
      <w:lvlJc w:val="left"/>
      <w:pPr>
        <w:tabs>
          <w:tab w:val="num" w:pos="720"/>
        </w:tabs>
        <w:ind w:left="720" w:hanging="360"/>
      </w:pPr>
      <w:rPr>
        <w:rFonts w:ascii="Arial" w:hAnsi="Arial" w:hint="default"/>
      </w:rPr>
    </w:lvl>
    <w:lvl w:ilvl="1" w:tplc="5FC45226" w:tentative="1">
      <w:start w:val="1"/>
      <w:numFmt w:val="bullet"/>
      <w:lvlText w:val="•"/>
      <w:lvlJc w:val="left"/>
      <w:pPr>
        <w:tabs>
          <w:tab w:val="num" w:pos="1440"/>
        </w:tabs>
        <w:ind w:left="1440" w:hanging="360"/>
      </w:pPr>
      <w:rPr>
        <w:rFonts w:ascii="Arial" w:hAnsi="Arial" w:hint="default"/>
      </w:rPr>
    </w:lvl>
    <w:lvl w:ilvl="2" w:tplc="0400BD08" w:tentative="1">
      <w:start w:val="1"/>
      <w:numFmt w:val="bullet"/>
      <w:lvlText w:val="•"/>
      <w:lvlJc w:val="left"/>
      <w:pPr>
        <w:tabs>
          <w:tab w:val="num" w:pos="2160"/>
        </w:tabs>
        <w:ind w:left="2160" w:hanging="360"/>
      </w:pPr>
      <w:rPr>
        <w:rFonts w:ascii="Arial" w:hAnsi="Arial" w:hint="default"/>
      </w:rPr>
    </w:lvl>
    <w:lvl w:ilvl="3" w:tplc="4FA01454" w:tentative="1">
      <w:start w:val="1"/>
      <w:numFmt w:val="bullet"/>
      <w:lvlText w:val="•"/>
      <w:lvlJc w:val="left"/>
      <w:pPr>
        <w:tabs>
          <w:tab w:val="num" w:pos="2880"/>
        </w:tabs>
        <w:ind w:left="2880" w:hanging="360"/>
      </w:pPr>
      <w:rPr>
        <w:rFonts w:ascii="Arial" w:hAnsi="Arial" w:hint="default"/>
      </w:rPr>
    </w:lvl>
    <w:lvl w:ilvl="4" w:tplc="4DD69F34" w:tentative="1">
      <w:start w:val="1"/>
      <w:numFmt w:val="bullet"/>
      <w:lvlText w:val="•"/>
      <w:lvlJc w:val="left"/>
      <w:pPr>
        <w:tabs>
          <w:tab w:val="num" w:pos="3600"/>
        </w:tabs>
        <w:ind w:left="3600" w:hanging="360"/>
      </w:pPr>
      <w:rPr>
        <w:rFonts w:ascii="Arial" w:hAnsi="Arial" w:hint="default"/>
      </w:rPr>
    </w:lvl>
    <w:lvl w:ilvl="5" w:tplc="3E0835AA" w:tentative="1">
      <w:start w:val="1"/>
      <w:numFmt w:val="bullet"/>
      <w:lvlText w:val="•"/>
      <w:lvlJc w:val="left"/>
      <w:pPr>
        <w:tabs>
          <w:tab w:val="num" w:pos="4320"/>
        </w:tabs>
        <w:ind w:left="4320" w:hanging="360"/>
      </w:pPr>
      <w:rPr>
        <w:rFonts w:ascii="Arial" w:hAnsi="Arial" w:hint="default"/>
      </w:rPr>
    </w:lvl>
    <w:lvl w:ilvl="6" w:tplc="3D9E2814" w:tentative="1">
      <w:start w:val="1"/>
      <w:numFmt w:val="bullet"/>
      <w:lvlText w:val="•"/>
      <w:lvlJc w:val="left"/>
      <w:pPr>
        <w:tabs>
          <w:tab w:val="num" w:pos="5040"/>
        </w:tabs>
        <w:ind w:left="5040" w:hanging="360"/>
      </w:pPr>
      <w:rPr>
        <w:rFonts w:ascii="Arial" w:hAnsi="Arial" w:hint="default"/>
      </w:rPr>
    </w:lvl>
    <w:lvl w:ilvl="7" w:tplc="EA82FCE2" w:tentative="1">
      <w:start w:val="1"/>
      <w:numFmt w:val="bullet"/>
      <w:lvlText w:val="•"/>
      <w:lvlJc w:val="left"/>
      <w:pPr>
        <w:tabs>
          <w:tab w:val="num" w:pos="5760"/>
        </w:tabs>
        <w:ind w:left="5760" w:hanging="360"/>
      </w:pPr>
      <w:rPr>
        <w:rFonts w:ascii="Arial" w:hAnsi="Arial" w:hint="default"/>
      </w:rPr>
    </w:lvl>
    <w:lvl w:ilvl="8" w:tplc="0C28CF0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1963C34"/>
    <w:multiLevelType w:val="hybridMultilevel"/>
    <w:tmpl w:val="BEF4373A"/>
    <w:lvl w:ilvl="0" w:tplc="E45AE946">
      <w:start w:val="1"/>
      <w:numFmt w:val="decimal"/>
      <w:lvlText w:val="%1."/>
      <w:lvlJc w:val="left"/>
      <w:pPr>
        <w:ind w:left="360" w:hanging="360"/>
      </w:pPr>
    </w:lvl>
    <w:lvl w:ilvl="1" w:tplc="3142F82A">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7B2BB5"/>
    <w:multiLevelType w:val="hybridMultilevel"/>
    <w:tmpl w:val="14EE3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C81EC8"/>
    <w:multiLevelType w:val="hybridMultilevel"/>
    <w:tmpl w:val="2132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B21327"/>
    <w:multiLevelType w:val="hybridMultilevel"/>
    <w:tmpl w:val="434C324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4EF3767F"/>
    <w:multiLevelType w:val="hybridMultilevel"/>
    <w:tmpl w:val="97785712"/>
    <w:lvl w:ilvl="0" w:tplc="B8C02F58">
      <w:start w:val="1"/>
      <w:numFmt w:val="decimal"/>
      <w:pStyle w:val="SectionHeader"/>
      <w:lvlText w:val="%1."/>
      <w:lvlJc w:val="left"/>
      <w:pPr>
        <w:ind w:left="360" w:hanging="360"/>
      </w:pPr>
    </w:lvl>
    <w:lvl w:ilvl="1" w:tplc="3142F82A">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D1D4B3D"/>
    <w:multiLevelType w:val="hybridMultilevel"/>
    <w:tmpl w:val="5928C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9879AE"/>
    <w:multiLevelType w:val="hybridMultilevel"/>
    <w:tmpl w:val="CB1EE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D320B3"/>
    <w:multiLevelType w:val="hybridMultilevel"/>
    <w:tmpl w:val="5C966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81123A"/>
    <w:multiLevelType w:val="hybridMultilevel"/>
    <w:tmpl w:val="AC5CEB72"/>
    <w:lvl w:ilvl="0" w:tplc="0409000F">
      <w:start w:val="1"/>
      <w:numFmt w:val="decimal"/>
      <w:lvlText w:val="%1."/>
      <w:lvlJc w:val="left"/>
      <w:pPr>
        <w:ind w:left="360" w:hanging="360"/>
      </w:pPr>
    </w:lvl>
    <w:lvl w:ilvl="1" w:tplc="3142F82A">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DF029F9"/>
    <w:multiLevelType w:val="hybridMultilevel"/>
    <w:tmpl w:val="F9F00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5"/>
  </w:num>
  <w:num w:numId="4">
    <w:abstractNumId w:val="11"/>
  </w:num>
  <w:num w:numId="5">
    <w:abstractNumId w:val="14"/>
  </w:num>
  <w:num w:numId="6">
    <w:abstractNumId w:val="6"/>
  </w:num>
  <w:num w:numId="7">
    <w:abstractNumId w:val="2"/>
  </w:num>
  <w:num w:numId="8">
    <w:abstractNumId w:val="3"/>
  </w:num>
  <w:num w:numId="9">
    <w:abstractNumId w:val="7"/>
  </w:num>
  <w:num w:numId="10">
    <w:abstractNumId w:val="4"/>
  </w:num>
  <w:num w:numId="11">
    <w:abstractNumId w:val="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3276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219"/>
    <w:rsid w:val="00001419"/>
    <w:rsid w:val="00002099"/>
    <w:rsid w:val="00006654"/>
    <w:rsid w:val="0000780A"/>
    <w:rsid w:val="00007AD9"/>
    <w:rsid w:val="000108FB"/>
    <w:rsid w:val="000154D0"/>
    <w:rsid w:val="00023052"/>
    <w:rsid w:val="00024FC4"/>
    <w:rsid w:val="00025BC4"/>
    <w:rsid w:val="00025DE8"/>
    <w:rsid w:val="0002702D"/>
    <w:rsid w:val="000331FB"/>
    <w:rsid w:val="000333FC"/>
    <w:rsid w:val="00034028"/>
    <w:rsid w:val="00035270"/>
    <w:rsid w:val="00042ED0"/>
    <w:rsid w:val="000434D3"/>
    <w:rsid w:val="000435B6"/>
    <w:rsid w:val="00045C54"/>
    <w:rsid w:val="00046A23"/>
    <w:rsid w:val="00052CFD"/>
    <w:rsid w:val="0005406E"/>
    <w:rsid w:val="0005449C"/>
    <w:rsid w:val="000562C2"/>
    <w:rsid w:val="00077C6A"/>
    <w:rsid w:val="000808F5"/>
    <w:rsid w:val="00082FE9"/>
    <w:rsid w:val="00087B6D"/>
    <w:rsid w:val="00090992"/>
    <w:rsid w:val="000912B0"/>
    <w:rsid w:val="000948BD"/>
    <w:rsid w:val="00096125"/>
    <w:rsid w:val="00096D27"/>
    <w:rsid w:val="000A7634"/>
    <w:rsid w:val="000A79F1"/>
    <w:rsid w:val="000B06F3"/>
    <w:rsid w:val="000B5D9E"/>
    <w:rsid w:val="000B7026"/>
    <w:rsid w:val="000C3F6C"/>
    <w:rsid w:val="000C79C5"/>
    <w:rsid w:val="000D1AF1"/>
    <w:rsid w:val="000D1CAE"/>
    <w:rsid w:val="000D35C0"/>
    <w:rsid w:val="000D5666"/>
    <w:rsid w:val="000D6039"/>
    <w:rsid w:val="000D62A9"/>
    <w:rsid w:val="000D66C5"/>
    <w:rsid w:val="000D7E47"/>
    <w:rsid w:val="000E2D43"/>
    <w:rsid w:val="000E3271"/>
    <w:rsid w:val="000E4728"/>
    <w:rsid w:val="000E5260"/>
    <w:rsid w:val="0010139D"/>
    <w:rsid w:val="00101EAF"/>
    <w:rsid w:val="00103F2B"/>
    <w:rsid w:val="00104D2F"/>
    <w:rsid w:val="00105161"/>
    <w:rsid w:val="001158AB"/>
    <w:rsid w:val="001171E4"/>
    <w:rsid w:val="001201AE"/>
    <w:rsid w:val="001215D3"/>
    <w:rsid w:val="00131039"/>
    <w:rsid w:val="00131B93"/>
    <w:rsid w:val="0013599E"/>
    <w:rsid w:val="00137CFE"/>
    <w:rsid w:val="0014068C"/>
    <w:rsid w:val="001412B1"/>
    <w:rsid w:val="00141C48"/>
    <w:rsid w:val="00152005"/>
    <w:rsid w:val="00152C15"/>
    <w:rsid w:val="00155CDE"/>
    <w:rsid w:val="00157270"/>
    <w:rsid w:val="001616DA"/>
    <w:rsid w:val="0016219A"/>
    <w:rsid w:val="00162684"/>
    <w:rsid w:val="001709AA"/>
    <w:rsid w:val="00171673"/>
    <w:rsid w:val="00171D96"/>
    <w:rsid w:val="001725C4"/>
    <w:rsid w:val="00181841"/>
    <w:rsid w:val="00193A16"/>
    <w:rsid w:val="00197BB4"/>
    <w:rsid w:val="001A2FD5"/>
    <w:rsid w:val="001A39FB"/>
    <w:rsid w:val="001A5C80"/>
    <w:rsid w:val="001B1D33"/>
    <w:rsid w:val="001B5CA6"/>
    <w:rsid w:val="001C15F0"/>
    <w:rsid w:val="001C1715"/>
    <w:rsid w:val="001C1FB0"/>
    <w:rsid w:val="001C2770"/>
    <w:rsid w:val="001C2A3C"/>
    <w:rsid w:val="001C5DD2"/>
    <w:rsid w:val="001C7187"/>
    <w:rsid w:val="001D0880"/>
    <w:rsid w:val="001D71EB"/>
    <w:rsid w:val="001D7761"/>
    <w:rsid w:val="001E5D88"/>
    <w:rsid w:val="001E63A3"/>
    <w:rsid w:val="001E688A"/>
    <w:rsid w:val="001F104F"/>
    <w:rsid w:val="001F10D8"/>
    <w:rsid w:val="001F42FA"/>
    <w:rsid w:val="002028F8"/>
    <w:rsid w:val="00211E0C"/>
    <w:rsid w:val="00212A7B"/>
    <w:rsid w:val="002171F0"/>
    <w:rsid w:val="002249E4"/>
    <w:rsid w:val="00227E07"/>
    <w:rsid w:val="002320CD"/>
    <w:rsid w:val="00233D11"/>
    <w:rsid w:val="00240255"/>
    <w:rsid w:val="00242E85"/>
    <w:rsid w:val="002532B6"/>
    <w:rsid w:val="002549D6"/>
    <w:rsid w:val="00257222"/>
    <w:rsid w:val="002644BA"/>
    <w:rsid w:val="00265A9F"/>
    <w:rsid w:val="00266465"/>
    <w:rsid w:val="0027498C"/>
    <w:rsid w:val="00275340"/>
    <w:rsid w:val="00275E57"/>
    <w:rsid w:val="00277400"/>
    <w:rsid w:val="00284FB9"/>
    <w:rsid w:val="002851B1"/>
    <w:rsid w:val="002872A1"/>
    <w:rsid w:val="002A46BB"/>
    <w:rsid w:val="002A4E2B"/>
    <w:rsid w:val="002B3BEE"/>
    <w:rsid w:val="002B49D1"/>
    <w:rsid w:val="002B4B7D"/>
    <w:rsid w:val="002B6266"/>
    <w:rsid w:val="002C0350"/>
    <w:rsid w:val="002C08FE"/>
    <w:rsid w:val="002C46C3"/>
    <w:rsid w:val="002C58BD"/>
    <w:rsid w:val="002C6CE3"/>
    <w:rsid w:val="002C7DB6"/>
    <w:rsid w:val="002D31C7"/>
    <w:rsid w:val="002D3D19"/>
    <w:rsid w:val="002D3F29"/>
    <w:rsid w:val="002E5D27"/>
    <w:rsid w:val="002F009F"/>
    <w:rsid w:val="002F0D5F"/>
    <w:rsid w:val="002F1E44"/>
    <w:rsid w:val="002F3471"/>
    <w:rsid w:val="002F4746"/>
    <w:rsid w:val="0030235A"/>
    <w:rsid w:val="003029B4"/>
    <w:rsid w:val="00302C76"/>
    <w:rsid w:val="003048BF"/>
    <w:rsid w:val="00312507"/>
    <w:rsid w:val="00317515"/>
    <w:rsid w:val="00317BEF"/>
    <w:rsid w:val="00324194"/>
    <w:rsid w:val="00326219"/>
    <w:rsid w:val="003352F8"/>
    <w:rsid w:val="00337BA4"/>
    <w:rsid w:val="00341925"/>
    <w:rsid w:val="00345636"/>
    <w:rsid w:val="00345C9B"/>
    <w:rsid w:val="0035116B"/>
    <w:rsid w:val="003542E6"/>
    <w:rsid w:val="00356D86"/>
    <w:rsid w:val="003605A7"/>
    <w:rsid w:val="00366B1A"/>
    <w:rsid w:val="003725E9"/>
    <w:rsid w:val="00372C4F"/>
    <w:rsid w:val="00374945"/>
    <w:rsid w:val="003757DA"/>
    <w:rsid w:val="00381BF1"/>
    <w:rsid w:val="00382FC9"/>
    <w:rsid w:val="00383AB3"/>
    <w:rsid w:val="003841FE"/>
    <w:rsid w:val="003846C6"/>
    <w:rsid w:val="00391DE9"/>
    <w:rsid w:val="0039511F"/>
    <w:rsid w:val="003A0669"/>
    <w:rsid w:val="003A2A53"/>
    <w:rsid w:val="003A454E"/>
    <w:rsid w:val="003B096D"/>
    <w:rsid w:val="003B22D5"/>
    <w:rsid w:val="003B416C"/>
    <w:rsid w:val="003B4D61"/>
    <w:rsid w:val="003C1046"/>
    <w:rsid w:val="003C1157"/>
    <w:rsid w:val="003C1F99"/>
    <w:rsid w:val="003C35D9"/>
    <w:rsid w:val="003C405E"/>
    <w:rsid w:val="003C4B6B"/>
    <w:rsid w:val="003D03D7"/>
    <w:rsid w:val="003D0618"/>
    <w:rsid w:val="003D2226"/>
    <w:rsid w:val="003D3549"/>
    <w:rsid w:val="003D4EF7"/>
    <w:rsid w:val="003D76AD"/>
    <w:rsid w:val="003E1B51"/>
    <w:rsid w:val="003E370C"/>
    <w:rsid w:val="003E4C24"/>
    <w:rsid w:val="003F3732"/>
    <w:rsid w:val="003F4F7E"/>
    <w:rsid w:val="004006C7"/>
    <w:rsid w:val="00401D37"/>
    <w:rsid w:val="0040435D"/>
    <w:rsid w:val="00412870"/>
    <w:rsid w:val="00413ADD"/>
    <w:rsid w:val="00415C46"/>
    <w:rsid w:val="00416C45"/>
    <w:rsid w:val="00425994"/>
    <w:rsid w:val="00426A43"/>
    <w:rsid w:val="00434245"/>
    <w:rsid w:val="00436BF2"/>
    <w:rsid w:val="0044222C"/>
    <w:rsid w:val="00457732"/>
    <w:rsid w:val="00461C9D"/>
    <w:rsid w:val="00464657"/>
    <w:rsid w:val="0046479A"/>
    <w:rsid w:val="004653A5"/>
    <w:rsid w:val="004659C0"/>
    <w:rsid w:val="00465BAA"/>
    <w:rsid w:val="0046691B"/>
    <w:rsid w:val="00470772"/>
    <w:rsid w:val="00471DE8"/>
    <w:rsid w:val="00472EA3"/>
    <w:rsid w:val="0047326D"/>
    <w:rsid w:val="004753F3"/>
    <w:rsid w:val="00483CB1"/>
    <w:rsid w:val="00484376"/>
    <w:rsid w:val="004875E5"/>
    <w:rsid w:val="00490DCC"/>
    <w:rsid w:val="004938F5"/>
    <w:rsid w:val="00494E46"/>
    <w:rsid w:val="00495487"/>
    <w:rsid w:val="00495549"/>
    <w:rsid w:val="004964BF"/>
    <w:rsid w:val="00497655"/>
    <w:rsid w:val="004A159F"/>
    <w:rsid w:val="004B68D4"/>
    <w:rsid w:val="004B7A81"/>
    <w:rsid w:val="004C451E"/>
    <w:rsid w:val="004C7F33"/>
    <w:rsid w:val="004D1A11"/>
    <w:rsid w:val="004D40EE"/>
    <w:rsid w:val="004E0EEA"/>
    <w:rsid w:val="004E331E"/>
    <w:rsid w:val="004E7BCA"/>
    <w:rsid w:val="004F279A"/>
    <w:rsid w:val="004F3D76"/>
    <w:rsid w:val="0050225D"/>
    <w:rsid w:val="005056C7"/>
    <w:rsid w:val="00506098"/>
    <w:rsid w:val="00506185"/>
    <w:rsid w:val="00506E43"/>
    <w:rsid w:val="00521625"/>
    <w:rsid w:val="00522805"/>
    <w:rsid w:val="0052766F"/>
    <w:rsid w:val="005356AF"/>
    <w:rsid w:val="0054301E"/>
    <w:rsid w:val="00544B19"/>
    <w:rsid w:val="00547F4F"/>
    <w:rsid w:val="00553BE6"/>
    <w:rsid w:val="00557747"/>
    <w:rsid w:val="00561CAB"/>
    <w:rsid w:val="00563F45"/>
    <w:rsid w:val="005646CA"/>
    <w:rsid w:val="00564F7E"/>
    <w:rsid w:val="00567247"/>
    <w:rsid w:val="00571E3E"/>
    <w:rsid w:val="00576DAB"/>
    <w:rsid w:val="00584074"/>
    <w:rsid w:val="00585275"/>
    <w:rsid w:val="005853B0"/>
    <w:rsid w:val="005901D8"/>
    <w:rsid w:val="00592D4B"/>
    <w:rsid w:val="005965B6"/>
    <w:rsid w:val="005A2094"/>
    <w:rsid w:val="005A264F"/>
    <w:rsid w:val="005A4ADF"/>
    <w:rsid w:val="005A7594"/>
    <w:rsid w:val="005B1047"/>
    <w:rsid w:val="005B1237"/>
    <w:rsid w:val="005B679B"/>
    <w:rsid w:val="005B70C6"/>
    <w:rsid w:val="005C1DAA"/>
    <w:rsid w:val="005C28DD"/>
    <w:rsid w:val="005C2F69"/>
    <w:rsid w:val="005C4C66"/>
    <w:rsid w:val="005C508E"/>
    <w:rsid w:val="005C5AC9"/>
    <w:rsid w:val="005C5B74"/>
    <w:rsid w:val="005C66DD"/>
    <w:rsid w:val="005D14EF"/>
    <w:rsid w:val="005E0645"/>
    <w:rsid w:val="005E1C28"/>
    <w:rsid w:val="005E35A6"/>
    <w:rsid w:val="005E54C0"/>
    <w:rsid w:val="005F086D"/>
    <w:rsid w:val="005F3F7E"/>
    <w:rsid w:val="006002E7"/>
    <w:rsid w:val="00602190"/>
    <w:rsid w:val="00605139"/>
    <w:rsid w:val="00610748"/>
    <w:rsid w:val="00613AFE"/>
    <w:rsid w:val="006148FE"/>
    <w:rsid w:val="0061678C"/>
    <w:rsid w:val="006218E5"/>
    <w:rsid w:val="006229FE"/>
    <w:rsid w:val="0062557F"/>
    <w:rsid w:val="006258DB"/>
    <w:rsid w:val="0062644E"/>
    <w:rsid w:val="006311E5"/>
    <w:rsid w:val="006313C5"/>
    <w:rsid w:val="00632382"/>
    <w:rsid w:val="0063362F"/>
    <w:rsid w:val="0063616D"/>
    <w:rsid w:val="00641743"/>
    <w:rsid w:val="00641CFB"/>
    <w:rsid w:val="0064594A"/>
    <w:rsid w:val="00645FBB"/>
    <w:rsid w:val="00647FD5"/>
    <w:rsid w:val="00650668"/>
    <w:rsid w:val="00650AE8"/>
    <w:rsid w:val="00651481"/>
    <w:rsid w:val="00654E9F"/>
    <w:rsid w:val="006613C0"/>
    <w:rsid w:val="0066198B"/>
    <w:rsid w:val="00664A54"/>
    <w:rsid w:val="00671487"/>
    <w:rsid w:val="0067148C"/>
    <w:rsid w:val="00673A48"/>
    <w:rsid w:val="00680E2C"/>
    <w:rsid w:val="006815AC"/>
    <w:rsid w:val="006907A4"/>
    <w:rsid w:val="00691B3C"/>
    <w:rsid w:val="006961D4"/>
    <w:rsid w:val="006A127B"/>
    <w:rsid w:val="006A29D2"/>
    <w:rsid w:val="006A3D52"/>
    <w:rsid w:val="006B228D"/>
    <w:rsid w:val="006B338C"/>
    <w:rsid w:val="006B5766"/>
    <w:rsid w:val="006B5BFC"/>
    <w:rsid w:val="006C5785"/>
    <w:rsid w:val="006C5C27"/>
    <w:rsid w:val="006C63AE"/>
    <w:rsid w:val="006D3330"/>
    <w:rsid w:val="006D3551"/>
    <w:rsid w:val="006D7010"/>
    <w:rsid w:val="006E1757"/>
    <w:rsid w:val="006E1807"/>
    <w:rsid w:val="006E4D0D"/>
    <w:rsid w:val="006F09EB"/>
    <w:rsid w:val="006F2AC4"/>
    <w:rsid w:val="006F2EC5"/>
    <w:rsid w:val="006F4CE7"/>
    <w:rsid w:val="006F53A1"/>
    <w:rsid w:val="006F565C"/>
    <w:rsid w:val="006F70D5"/>
    <w:rsid w:val="00700710"/>
    <w:rsid w:val="00701B56"/>
    <w:rsid w:val="00703C71"/>
    <w:rsid w:val="00705CFE"/>
    <w:rsid w:val="00706B1F"/>
    <w:rsid w:val="00706C24"/>
    <w:rsid w:val="00707321"/>
    <w:rsid w:val="00711DBB"/>
    <w:rsid w:val="0071305F"/>
    <w:rsid w:val="00723A3A"/>
    <w:rsid w:val="00723B17"/>
    <w:rsid w:val="007241E7"/>
    <w:rsid w:val="007309F3"/>
    <w:rsid w:val="00735FCC"/>
    <w:rsid w:val="00741D01"/>
    <w:rsid w:val="00742AF1"/>
    <w:rsid w:val="00746422"/>
    <w:rsid w:val="007467CC"/>
    <w:rsid w:val="00757ADD"/>
    <w:rsid w:val="0076408D"/>
    <w:rsid w:val="00764CA3"/>
    <w:rsid w:val="00765FD1"/>
    <w:rsid w:val="0076720D"/>
    <w:rsid w:val="007704A8"/>
    <w:rsid w:val="00771971"/>
    <w:rsid w:val="00771AA9"/>
    <w:rsid w:val="00771D4D"/>
    <w:rsid w:val="00773293"/>
    <w:rsid w:val="00774065"/>
    <w:rsid w:val="00782E53"/>
    <w:rsid w:val="007839A1"/>
    <w:rsid w:val="00785E20"/>
    <w:rsid w:val="007868AD"/>
    <w:rsid w:val="00786C35"/>
    <w:rsid w:val="0079679E"/>
    <w:rsid w:val="0079726E"/>
    <w:rsid w:val="007A0082"/>
    <w:rsid w:val="007A74B0"/>
    <w:rsid w:val="007B0314"/>
    <w:rsid w:val="007B06E5"/>
    <w:rsid w:val="007B27A2"/>
    <w:rsid w:val="007B32B0"/>
    <w:rsid w:val="007B3D53"/>
    <w:rsid w:val="007B5318"/>
    <w:rsid w:val="007C03DC"/>
    <w:rsid w:val="007C4A58"/>
    <w:rsid w:val="007C5F02"/>
    <w:rsid w:val="007D79A8"/>
    <w:rsid w:val="007D7FAC"/>
    <w:rsid w:val="007E42DF"/>
    <w:rsid w:val="007E73BC"/>
    <w:rsid w:val="007F6D08"/>
    <w:rsid w:val="0080070F"/>
    <w:rsid w:val="00803561"/>
    <w:rsid w:val="00806E4A"/>
    <w:rsid w:val="00810622"/>
    <w:rsid w:val="00814357"/>
    <w:rsid w:val="008160AF"/>
    <w:rsid w:val="00820796"/>
    <w:rsid w:val="00821F98"/>
    <w:rsid w:val="00835519"/>
    <w:rsid w:val="00843F0E"/>
    <w:rsid w:val="008441B1"/>
    <w:rsid w:val="00844B4C"/>
    <w:rsid w:val="00845BD9"/>
    <w:rsid w:val="008526F6"/>
    <w:rsid w:val="00854250"/>
    <w:rsid w:val="00855DB5"/>
    <w:rsid w:val="0086194B"/>
    <w:rsid w:val="008726F1"/>
    <w:rsid w:val="0087318A"/>
    <w:rsid w:val="0087530B"/>
    <w:rsid w:val="00880FD5"/>
    <w:rsid w:val="00890459"/>
    <w:rsid w:val="00893E6B"/>
    <w:rsid w:val="008A249D"/>
    <w:rsid w:val="008A39B7"/>
    <w:rsid w:val="008A7552"/>
    <w:rsid w:val="008B1BD0"/>
    <w:rsid w:val="008B2658"/>
    <w:rsid w:val="008B7353"/>
    <w:rsid w:val="008C0C88"/>
    <w:rsid w:val="008C3167"/>
    <w:rsid w:val="008D04A4"/>
    <w:rsid w:val="008D13AD"/>
    <w:rsid w:val="008D1573"/>
    <w:rsid w:val="008D2CC5"/>
    <w:rsid w:val="008D4534"/>
    <w:rsid w:val="008E104C"/>
    <w:rsid w:val="008E52D2"/>
    <w:rsid w:val="008F566F"/>
    <w:rsid w:val="009003DF"/>
    <w:rsid w:val="00901FBB"/>
    <w:rsid w:val="009053B7"/>
    <w:rsid w:val="00906881"/>
    <w:rsid w:val="0090744C"/>
    <w:rsid w:val="00912EDC"/>
    <w:rsid w:val="00916144"/>
    <w:rsid w:val="00920690"/>
    <w:rsid w:val="00920D57"/>
    <w:rsid w:val="0093036B"/>
    <w:rsid w:val="0093097A"/>
    <w:rsid w:val="009346E8"/>
    <w:rsid w:val="00944EE8"/>
    <w:rsid w:val="00950623"/>
    <w:rsid w:val="00951155"/>
    <w:rsid w:val="009542B8"/>
    <w:rsid w:val="00954DB2"/>
    <w:rsid w:val="009559D2"/>
    <w:rsid w:val="00956956"/>
    <w:rsid w:val="009574DF"/>
    <w:rsid w:val="00962964"/>
    <w:rsid w:val="009654A9"/>
    <w:rsid w:val="00977525"/>
    <w:rsid w:val="00984749"/>
    <w:rsid w:val="00986F80"/>
    <w:rsid w:val="00992A8D"/>
    <w:rsid w:val="0099684C"/>
    <w:rsid w:val="009A4092"/>
    <w:rsid w:val="009A471E"/>
    <w:rsid w:val="009A66BE"/>
    <w:rsid w:val="009A6BB6"/>
    <w:rsid w:val="009A75C5"/>
    <w:rsid w:val="009B2ED7"/>
    <w:rsid w:val="009B398E"/>
    <w:rsid w:val="009C0B53"/>
    <w:rsid w:val="009C6874"/>
    <w:rsid w:val="009C7A05"/>
    <w:rsid w:val="009D6E34"/>
    <w:rsid w:val="009D701A"/>
    <w:rsid w:val="009D71B5"/>
    <w:rsid w:val="009E063D"/>
    <w:rsid w:val="009E21FF"/>
    <w:rsid w:val="009E2A06"/>
    <w:rsid w:val="009E39F5"/>
    <w:rsid w:val="009E79F2"/>
    <w:rsid w:val="009F5C73"/>
    <w:rsid w:val="00A0241F"/>
    <w:rsid w:val="00A02A61"/>
    <w:rsid w:val="00A03E18"/>
    <w:rsid w:val="00A14B90"/>
    <w:rsid w:val="00A21106"/>
    <w:rsid w:val="00A21185"/>
    <w:rsid w:val="00A23ED1"/>
    <w:rsid w:val="00A248AF"/>
    <w:rsid w:val="00A25B96"/>
    <w:rsid w:val="00A25CBE"/>
    <w:rsid w:val="00A34949"/>
    <w:rsid w:val="00A426B5"/>
    <w:rsid w:val="00A43696"/>
    <w:rsid w:val="00A507B1"/>
    <w:rsid w:val="00A57356"/>
    <w:rsid w:val="00A60C3C"/>
    <w:rsid w:val="00A654D8"/>
    <w:rsid w:val="00A656DE"/>
    <w:rsid w:val="00A67EE3"/>
    <w:rsid w:val="00A70AFE"/>
    <w:rsid w:val="00A71F32"/>
    <w:rsid w:val="00A74999"/>
    <w:rsid w:val="00A77FC3"/>
    <w:rsid w:val="00A81083"/>
    <w:rsid w:val="00A8145A"/>
    <w:rsid w:val="00A817A4"/>
    <w:rsid w:val="00A82A77"/>
    <w:rsid w:val="00A83303"/>
    <w:rsid w:val="00A846BA"/>
    <w:rsid w:val="00A85B03"/>
    <w:rsid w:val="00A87553"/>
    <w:rsid w:val="00A90CE4"/>
    <w:rsid w:val="00A91A3F"/>
    <w:rsid w:val="00A94A31"/>
    <w:rsid w:val="00A974C4"/>
    <w:rsid w:val="00AA4B52"/>
    <w:rsid w:val="00AB06F4"/>
    <w:rsid w:val="00AB17A2"/>
    <w:rsid w:val="00AB2F91"/>
    <w:rsid w:val="00AB720A"/>
    <w:rsid w:val="00AC0041"/>
    <w:rsid w:val="00AC48DC"/>
    <w:rsid w:val="00AD19BF"/>
    <w:rsid w:val="00AD5FEB"/>
    <w:rsid w:val="00AD5FFE"/>
    <w:rsid w:val="00AE0DC7"/>
    <w:rsid w:val="00AF169D"/>
    <w:rsid w:val="00AF5ABB"/>
    <w:rsid w:val="00B0001E"/>
    <w:rsid w:val="00B02182"/>
    <w:rsid w:val="00B04966"/>
    <w:rsid w:val="00B06122"/>
    <w:rsid w:val="00B11785"/>
    <w:rsid w:val="00B12DE1"/>
    <w:rsid w:val="00B17BEA"/>
    <w:rsid w:val="00B2061C"/>
    <w:rsid w:val="00B20DFC"/>
    <w:rsid w:val="00B20EA2"/>
    <w:rsid w:val="00B235B2"/>
    <w:rsid w:val="00B25A64"/>
    <w:rsid w:val="00B303CC"/>
    <w:rsid w:val="00B304D2"/>
    <w:rsid w:val="00B32208"/>
    <w:rsid w:val="00B348B5"/>
    <w:rsid w:val="00B375FD"/>
    <w:rsid w:val="00B44582"/>
    <w:rsid w:val="00B51474"/>
    <w:rsid w:val="00B51519"/>
    <w:rsid w:val="00B55E6C"/>
    <w:rsid w:val="00B6608B"/>
    <w:rsid w:val="00B673F2"/>
    <w:rsid w:val="00B67938"/>
    <w:rsid w:val="00B801EB"/>
    <w:rsid w:val="00B83125"/>
    <w:rsid w:val="00B83742"/>
    <w:rsid w:val="00B8380B"/>
    <w:rsid w:val="00BA19C9"/>
    <w:rsid w:val="00BA4AE7"/>
    <w:rsid w:val="00BA4D7F"/>
    <w:rsid w:val="00BB2306"/>
    <w:rsid w:val="00BB6468"/>
    <w:rsid w:val="00BC11E6"/>
    <w:rsid w:val="00BC22C0"/>
    <w:rsid w:val="00BC4929"/>
    <w:rsid w:val="00BC6411"/>
    <w:rsid w:val="00BD1B1D"/>
    <w:rsid w:val="00BD5510"/>
    <w:rsid w:val="00BD6100"/>
    <w:rsid w:val="00BD6A20"/>
    <w:rsid w:val="00BD7E4F"/>
    <w:rsid w:val="00BE63A8"/>
    <w:rsid w:val="00BE7878"/>
    <w:rsid w:val="00BF3903"/>
    <w:rsid w:val="00BF7120"/>
    <w:rsid w:val="00BF7D73"/>
    <w:rsid w:val="00C00C9C"/>
    <w:rsid w:val="00C0144E"/>
    <w:rsid w:val="00C0790A"/>
    <w:rsid w:val="00C10D50"/>
    <w:rsid w:val="00C127B6"/>
    <w:rsid w:val="00C134F0"/>
    <w:rsid w:val="00C1546D"/>
    <w:rsid w:val="00C16130"/>
    <w:rsid w:val="00C16305"/>
    <w:rsid w:val="00C17EDC"/>
    <w:rsid w:val="00C209C9"/>
    <w:rsid w:val="00C25D73"/>
    <w:rsid w:val="00C34167"/>
    <w:rsid w:val="00C379D4"/>
    <w:rsid w:val="00C37F69"/>
    <w:rsid w:val="00C420F1"/>
    <w:rsid w:val="00C43508"/>
    <w:rsid w:val="00C4662D"/>
    <w:rsid w:val="00C478FC"/>
    <w:rsid w:val="00C50753"/>
    <w:rsid w:val="00C51C9C"/>
    <w:rsid w:val="00C555E8"/>
    <w:rsid w:val="00C557C5"/>
    <w:rsid w:val="00C6597C"/>
    <w:rsid w:val="00C751B3"/>
    <w:rsid w:val="00C755B5"/>
    <w:rsid w:val="00C774FF"/>
    <w:rsid w:val="00C77B51"/>
    <w:rsid w:val="00C801A3"/>
    <w:rsid w:val="00C86445"/>
    <w:rsid w:val="00C918D0"/>
    <w:rsid w:val="00C92888"/>
    <w:rsid w:val="00C93BA8"/>
    <w:rsid w:val="00C97036"/>
    <w:rsid w:val="00C97BFF"/>
    <w:rsid w:val="00CA6F46"/>
    <w:rsid w:val="00CA733F"/>
    <w:rsid w:val="00CB1445"/>
    <w:rsid w:val="00CC181A"/>
    <w:rsid w:val="00CC3017"/>
    <w:rsid w:val="00CC4150"/>
    <w:rsid w:val="00CC523A"/>
    <w:rsid w:val="00CD0B6B"/>
    <w:rsid w:val="00CE3F05"/>
    <w:rsid w:val="00CE5A80"/>
    <w:rsid w:val="00CE7B5A"/>
    <w:rsid w:val="00CF200C"/>
    <w:rsid w:val="00D00159"/>
    <w:rsid w:val="00D044F0"/>
    <w:rsid w:val="00D049B6"/>
    <w:rsid w:val="00D0707A"/>
    <w:rsid w:val="00D10ED2"/>
    <w:rsid w:val="00D11848"/>
    <w:rsid w:val="00D16DD4"/>
    <w:rsid w:val="00D21FFA"/>
    <w:rsid w:val="00D23C5D"/>
    <w:rsid w:val="00D30AE4"/>
    <w:rsid w:val="00D30FFC"/>
    <w:rsid w:val="00D31726"/>
    <w:rsid w:val="00D342DF"/>
    <w:rsid w:val="00D41405"/>
    <w:rsid w:val="00D43EA4"/>
    <w:rsid w:val="00D455A3"/>
    <w:rsid w:val="00D50003"/>
    <w:rsid w:val="00D52BDB"/>
    <w:rsid w:val="00D54A14"/>
    <w:rsid w:val="00D5559C"/>
    <w:rsid w:val="00D57FF6"/>
    <w:rsid w:val="00D60373"/>
    <w:rsid w:val="00D62D25"/>
    <w:rsid w:val="00D6550B"/>
    <w:rsid w:val="00D6713F"/>
    <w:rsid w:val="00D679A8"/>
    <w:rsid w:val="00D73A06"/>
    <w:rsid w:val="00D763F2"/>
    <w:rsid w:val="00D83CD4"/>
    <w:rsid w:val="00D8631C"/>
    <w:rsid w:val="00D87EB2"/>
    <w:rsid w:val="00D9013B"/>
    <w:rsid w:val="00D90B2F"/>
    <w:rsid w:val="00D90E75"/>
    <w:rsid w:val="00D9668A"/>
    <w:rsid w:val="00D972B8"/>
    <w:rsid w:val="00DA2F49"/>
    <w:rsid w:val="00DA36F6"/>
    <w:rsid w:val="00DA5693"/>
    <w:rsid w:val="00DB06A2"/>
    <w:rsid w:val="00DB15DF"/>
    <w:rsid w:val="00DB1878"/>
    <w:rsid w:val="00DB1D81"/>
    <w:rsid w:val="00DB1DA1"/>
    <w:rsid w:val="00DB2A56"/>
    <w:rsid w:val="00DB32C6"/>
    <w:rsid w:val="00DB6200"/>
    <w:rsid w:val="00DB6CFE"/>
    <w:rsid w:val="00DB7674"/>
    <w:rsid w:val="00DC0035"/>
    <w:rsid w:val="00DC04D7"/>
    <w:rsid w:val="00DC0AE1"/>
    <w:rsid w:val="00DC16E2"/>
    <w:rsid w:val="00DC3EF9"/>
    <w:rsid w:val="00DC6AE9"/>
    <w:rsid w:val="00DD22B0"/>
    <w:rsid w:val="00DD3460"/>
    <w:rsid w:val="00DD4E1D"/>
    <w:rsid w:val="00DD514A"/>
    <w:rsid w:val="00DD543F"/>
    <w:rsid w:val="00DE6137"/>
    <w:rsid w:val="00DF3413"/>
    <w:rsid w:val="00DF4392"/>
    <w:rsid w:val="00DF5E3A"/>
    <w:rsid w:val="00E01630"/>
    <w:rsid w:val="00E05CA5"/>
    <w:rsid w:val="00E06B85"/>
    <w:rsid w:val="00E10FA1"/>
    <w:rsid w:val="00E13644"/>
    <w:rsid w:val="00E25408"/>
    <w:rsid w:val="00E34608"/>
    <w:rsid w:val="00E34B09"/>
    <w:rsid w:val="00E363F2"/>
    <w:rsid w:val="00E3797B"/>
    <w:rsid w:val="00E41F6E"/>
    <w:rsid w:val="00E46527"/>
    <w:rsid w:val="00E478CF"/>
    <w:rsid w:val="00E60606"/>
    <w:rsid w:val="00E61726"/>
    <w:rsid w:val="00E61F06"/>
    <w:rsid w:val="00E64759"/>
    <w:rsid w:val="00E74FB4"/>
    <w:rsid w:val="00E77537"/>
    <w:rsid w:val="00E808E9"/>
    <w:rsid w:val="00E85DA4"/>
    <w:rsid w:val="00E87952"/>
    <w:rsid w:val="00E907F6"/>
    <w:rsid w:val="00E94C81"/>
    <w:rsid w:val="00EA3537"/>
    <w:rsid w:val="00EA7D49"/>
    <w:rsid w:val="00EB3C36"/>
    <w:rsid w:val="00EB5433"/>
    <w:rsid w:val="00EC06AE"/>
    <w:rsid w:val="00EC0F8D"/>
    <w:rsid w:val="00EC1B21"/>
    <w:rsid w:val="00EC2709"/>
    <w:rsid w:val="00EC5214"/>
    <w:rsid w:val="00EC6435"/>
    <w:rsid w:val="00ED04C2"/>
    <w:rsid w:val="00ED335E"/>
    <w:rsid w:val="00ED3987"/>
    <w:rsid w:val="00ED3B8A"/>
    <w:rsid w:val="00ED5C39"/>
    <w:rsid w:val="00ED62D2"/>
    <w:rsid w:val="00EE40E7"/>
    <w:rsid w:val="00EE7483"/>
    <w:rsid w:val="00EF1B82"/>
    <w:rsid w:val="00EF2812"/>
    <w:rsid w:val="00F004E4"/>
    <w:rsid w:val="00F05D00"/>
    <w:rsid w:val="00F0628C"/>
    <w:rsid w:val="00F069F4"/>
    <w:rsid w:val="00F112B6"/>
    <w:rsid w:val="00F12E6A"/>
    <w:rsid w:val="00F13197"/>
    <w:rsid w:val="00F23A40"/>
    <w:rsid w:val="00F26B95"/>
    <w:rsid w:val="00F27BBE"/>
    <w:rsid w:val="00F30FA9"/>
    <w:rsid w:val="00F314C1"/>
    <w:rsid w:val="00F31E24"/>
    <w:rsid w:val="00F3696A"/>
    <w:rsid w:val="00F37FED"/>
    <w:rsid w:val="00F446FF"/>
    <w:rsid w:val="00F46C84"/>
    <w:rsid w:val="00F52052"/>
    <w:rsid w:val="00F52408"/>
    <w:rsid w:val="00F566E1"/>
    <w:rsid w:val="00F61273"/>
    <w:rsid w:val="00F672D5"/>
    <w:rsid w:val="00F70A5C"/>
    <w:rsid w:val="00F71776"/>
    <w:rsid w:val="00F72655"/>
    <w:rsid w:val="00F73F9D"/>
    <w:rsid w:val="00F74540"/>
    <w:rsid w:val="00F756CE"/>
    <w:rsid w:val="00F839CB"/>
    <w:rsid w:val="00F8491D"/>
    <w:rsid w:val="00F8698B"/>
    <w:rsid w:val="00F90056"/>
    <w:rsid w:val="00F902B6"/>
    <w:rsid w:val="00F90604"/>
    <w:rsid w:val="00F9121B"/>
    <w:rsid w:val="00F9282A"/>
    <w:rsid w:val="00FA131D"/>
    <w:rsid w:val="00FA3456"/>
    <w:rsid w:val="00FA39E8"/>
    <w:rsid w:val="00FA4ACA"/>
    <w:rsid w:val="00FA5F5B"/>
    <w:rsid w:val="00FB4FA8"/>
    <w:rsid w:val="00FC05C1"/>
    <w:rsid w:val="00FC102E"/>
    <w:rsid w:val="00FC4230"/>
    <w:rsid w:val="00FD352F"/>
    <w:rsid w:val="00FD656E"/>
    <w:rsid w:val="00FD6CE1"/>
    <w:rsid w:val="00FE3484"/>
    <w:rsid w:val="00FE462A"/>
    <w:rsid w:val="00FE53F9"/>
    <w:rsid w:val="00FF181D"/>
    <w:rsid w:val="00FF67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64987ED8"/>
  <w15:docId w15:val="{53CE2A43-7984-4E9F-A94C-A0032D65F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98B"/>
    <w:pPr>
      <w:spacing w:before="120" w:line="264" w:lineRule="auto"/>
    </w:pPr>
    <w:rPr>
      <w:rFonts w:asciiTheme="majorHAnsi" w:hAnsiTheme="majorHAnsi"/>
    </w:rPr>
  </w:style>
  <w:style w:type="paragraph" w:styleId="Heading1">
    <w:name w:val="heading 1"/>
    <w:basedOn w:val="Normal"/>
    <w:next w:val="Normal"/>
    <w:link w:val="Heading1Char"/>
    <w:uiPriority w:val="9"/>
    <w:qFormat/>
    <w:rsid w:val="00C209C9"/>
    <w:pPr>
      <w:keepNext/>
      <w:keepLines/>
      <w:spacing w:before="240" w:after="0"/>
      <w:outlineLvl w:val="0"/>
    </w:pPr>
    <w:rPr>
      <w:rFonts w:eastAsiaTheme="majorEastAsia" w:cstheme="majorBidi"/>
      <w:b/>
      <w:bCs/>
      <w:color w:val="0F243E" w:themeColor="text2" w:themeShade="80"/>
      <w:szCs w:val="28"/>
      <w:u w:val="single"/>
    </w:rPr>
  </w:style>
  <w:style w:type="paragraph" w:styleId="Heading2">
    <w:name w:val="heading 2"/>
    <w:basedOn w:val="Normal"/>
    <w:next w:val="Normal"/>
    <w:link w:val="Heading2Char"/>
    <w:uiPriority w:val="9"/>
    <w:unhideWhenUsed/>
    <w:qFormat/>
    <w:rsid w:val="00C209C9"/>
    <w:pPr>
      <w:keepNext/>
      <w:keepLines/>
      <w:spacing w:before="200" w:after="0"/>
      <w:outlineLvl w:val="1"/>
    </w:pPr>
    <w:rPr>
      <w:rFonts w:eastAsiaTheme="majorEastAsia" w:cstheme="majorBidi"/>
      <w:b/>
      <w:bCs/>
      <w:sz w:val="24"/>
      <w:szCs w:val="26"/>
    </w:rPr>
  </w:style>
  <w:style w:type="paragraph" w:styleId="Heading3">
    <w:name w:val="heading 3"/>
    <w:basedOn w:val="Normal"/>
    <w:link w:val="Heading3Char"/>
    <w:uiPriority w:val="9"/>
    <w:qFormat/>
    <w:rsid w:val="00C209C9"/>
    <w:pPr>
      <w:spacing w:after="0"/>
      <w:outlineLvl w:val="2"/>
    </w:pPr>
    <w:rPr>
      <w:rFonts w:eastAsia="Times New Roman" w:cs="Times New Roman"/>
      <w:b/>
      <w:bCs/>
      <w:i/>
      <w:szCs w:val="27"/>
    </w:rPr>
  </w:style>
  <w:style w:type="paragraph" w:styleId="Heading4">
    <w:name w:val="heading 4"/>
    <w:basedOn w:val="Normal"/>
    <w:next w:val="Normal"/>
    <w:link w:val="Heading4Char"/>
    <w:uiPriority w:val="9"/>
    <w:unhideWhenUsed/>
    <w:qFormat/>
    <w:rsid w:val="00FD656E"/>
    <w:pPr>
      <w:spacing w:before="240" w:after="120"/>
      <w:outlineLvl w:val="3"/>
    </w:pPr>
    <w:rPr>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40E7"/>
    <w:pPr>
      <w:ind w:left="720"/>
      <w:contextualSpacing/>
    </w:pPr>
  </w:style>
  <w:style w:type="character" w:styleId="CommentReference">
    <w:name w:val="annotation reference"/>
    <w:basedOn w:val="DefaultParagraphFont"/>
    <w:uiPriority w:val="99"/>
    <w:semiHidden/>
    <w:unhideWhenUsed/>
    <w:rsid w:val="00326219"/>
    <w:rPr>
      <w:sz w:val="16"/>
      <w:szCs w:val="16"/>
    </w:rPr>
  </w:style>
  <w:style w:type="paragraph" w:styleId="CommentText">
    <w:name w:val="annotation text"/>
    <w:basedOn w:val="Normal"/>
    <w:link w:val="CommentTextChar"/>
    <w:uiPriority w:val="99"/>
    <w:unhideWhenUsed/>
    <w:rsid w:val="00326219"/>
    <w:rPr>
      <w:sz w:val="20"/>
      <w:szCs w:val="20"/>
    </w:rPr>
  </w:style>
  <w:style w:type="character" w:customStyle="1" w:styleId="CommentTextChar">
    <w:name w:val="Comment Text Char"/>
    <w:basedOn w:val="DefaultParagraphFont"/>
    <w:link w:val="CommentText"/>
    <w:uiPriority w:val="99"/>
    <w:rsid w:val="00326219"/>
    <w:rPr>
      <w:sz w:val="20"/>
      <w:szCs w:val="20"/>
    </w:rPr>
  </w:style>
  <w:style w:type="paragraph" w:styleId="BalloonText">
    <w:name w:val="Balloon Text"/>
    <w:basedOn w:val="Normal"/>
    <w:link w:val="BalloonTextChar"/>
    <w:uiPriority w:val="99"/>
    <w:semiHidden/>
    <w:unhideWhenUsed/>
    <w:rsid w:val="0032621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621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14B90"/>
    <w:rPr>
      <w:b/>
      <w:bCs/>
    </w:rPr>
  </w:style>
  <w:style w:type="character" w:customStyle="1" w:styleId="CommentSubjectChar">
    <w:name w:val="Comment Subject Char"/>
    <w:basedOn w:val="CommentTextChar"/>
    <w:link w:val="CommentSubject"/>
    <w:uiPriority w:val="99"/>
    <w:semiHidden/>
    <w:rsid w:val="00A14B90"/>
    <w:rPr>
      <w:b/>
      <w:bCs/>
      <w:sz w:val="20"/>
      <w:szCs w:val="20"/>
    </w:rPr>
  </w:style>
  <w:style w:type="paragraph" w:customStyle="1" w:styleId="Default">
    <w:name w:val="Default"/>
    <w:rsid w:val="00C557C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C209C9"/>
    <w:rPr>
      <w:rFonts w:asciiTheme="majorHAnsi" w:eastAsia="Times New Roman" w:hAnsiTheme="majorHAnsi" w:cs="Times New Roman"/>
      <w:b/>
      <w:bCs/>
      <w:i/>
      <w:szCs w:val="27"/>
    </w:rPr>
  </w:style>
  <w:style w:type="character" w:styleId="Emphasis">
    <w:name w:val="Emphasis"/>
    <w:basedOn w:val="DefaultParagraphFont"/>
    <w:uiPriority w:val="20"/>
    <w:qFormat/>
    <w:rsid w:val="000435B6"/>
    <w:rPr>
      <w:i/>
      <w:iCs/>
    </w:rPr>
  </w:style>
  <w:style w:type="paragraph" w:customStyle="1" w:styleId="CM111">
    <w:name w:val="CM111"/>
    <w:basedOn w:val="Default"/>
    <w:next w:val="Default"/>
    <w:uiPriority w:val="99"/>
    <w:rsid w:val="002F009F"/>
    <w:rPr>
      <w:color w:val="auto"/>
    </w:rPr>
  </w:style>
  <w:style w:type="character" w:customStyle="1" w:styleId="Heading2Char">
    <w:name w:val="Heading 2 Char"/>
    <w:basedOn w:val="DefaultParagraphFont"/>
    <w:link w:val="Heading2"/>
    <w:uiPriority w:val="9"/>
    <w:rsid w:val="00C209C9"/>
    <w:rPr>
      <w:rFonts w:asciiTheme="majorHAnsi" w:eastAsiaTheme="majorEastAsia" w:hAnsiTheme="majorHAnsi" w:cstheme="majorBidi"/>
      <w:b/>
      <w:bCs/>
      <w:sz w:val="24"/>
      <w:szCs w:val="26"/>
    </w:rPr>
  </w:style>
  <w:style w:type="character" w:customStyle="1" w:styleId="Heading4Char">
    <w:name w:val="Heading 4 Char"/>
    <w:basedOn w:val="DefaultParagraphFont"/>
    <w:link w:val="Heading4"/>
    <w:uiPriority w:val="9"/>
    <w:rsid w:val="00FD656E"/>
    <w:rPr>
      <w:rFonts w:ascii="Times New Roman" w:hAnsi="Times New Roman"/>
      <w:i/>
      <w:szCs w:val="20"/>
    </w:rPr>
  </w:style>
  <w:style w:type="paragraph" w:styleId="FootnoteText">
    <w:name w:val="footnote text"/>
    <w:basedOn w:val="Normal"/>
    <w:link w:val="FootnoteTextChar"/>
    <w:uiPriority w:val="99"/>
    <w:semiHidden/>
    <w:unhideWhenUsed/>
    <w:rsid w:val="00723A3A"/>
    <w:pPr>
      <w:spacing w:after="0"/>
    </w:pPr>
    <w:rPr>
      <w:sz w:val="20"/>
      <w:szCs w:val="20"/>
    </w:rPr>
  </w:style>
  <w:style w:type="character" w:customStyle="1" w:styleId="FootnoteTextChar">
    <w:name w:val="Footnote Text Char"/>
    <w:basedOn w:val="DefaultParagraphFont"/>
    <w:link w:val="FootnoteText"/>
    <w:uiPriority w:val="99"/>
    <w:semiHidden/>
    <w:rsid w:val="00723A3A"/>
    <w:rPr>
      <w:sz w:val="20"/>
      <w:szCs w:val="20"/>
    </w:rPr>
  </w:style>
  <w:style w:type="character" w:styleId="FootnoteReference">
    <w:name w:val="footnote reference"/>
    <w:basedOn w:val="DefaultParagraphFont"/>
    <w:uiPriority w:val="99"/>
    <w:semiHidden/>
    <w:unhideWhenUsed/>
    <w:rsid w:val="00723A3A"/>
    <w:rPr>
      <w:vertAlign w:val="superscript"/>
    </w:rPr>
  </w:style>
  <w:style w:type="character" w:customStyle="1" w:styleId="Heading1Char">
    <w:name w:val="Heading 1 Char"/>
    <w:basedOn w:val="DefaultParagraphFont"/>
    <w:link w:val="Heading1"/>
    <w:uiPriority w:val="9"/>
    <w:rsid w:val="00C209C9"/>
    <w:rPr>
      <w:rFonts w:asciiTheme="majorHAnsi" w:eastAsiaTheme="majorEastAsia" w:hAnsiTheme="majorHAnsi" w:cstheme="majorBidi"/>
      <w:b/>
      <w:bCs/>
      <w:color w:val="0F243E" w:themeColor="text2" w:themeShade="80"/>
      <w:szCs w:val="28"/>
      <w:u w:val="single"/>
    </w:rPr>
  </w:style>
  <w:style w:type="table" w:styleId="TableGrid">
    <w:name w:val="Table Grid"/>
    <w:basedOn w:val="TableNormal"/>
    <w:uiPriority w:val="59"/>
    <w:rsid w:val="00493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23052"/>
    <w:pPr>
      <w:spacing w:before="100" w:beforeAutospacing="1" w:after="100" w:afterAutospacing="1"/>
    </w:pPr>
    <w:rPr>
      <w:rFonts w:eastAsia="Times New Roman" w:cs="Times New Roman"/>
      <w:sz w:val="24"/>
      <w:szCs w:val="24"/>
    </w:rPr>
  </w:style>
  <w:style w:type="character" w:styleId="Hyperlink">
    <w:name w:val="Hyperlink"/>
    <w:basedOn w:val="DefaultParagraphFont"/>
    <w:uiPriority w:val="99"/>
    <w:unhideWhenUsed/>
    <w:rsid w:val="00C51C9C"/>
    <w:rPr>
      <w:color w:val="0000FF" w:themeColor="hyperlink"/>
      <w:u w:val="single"/>
    </w:rPr>
  </w:style>
  <w:style w:type="paragraph" w:customStyle="1" w:styleId="SectionHeader">
    <w:name w:val="Section Header"/>
    <w:basedOn w:val="ListParagraph"/>
    <w:qFormat/>
    <w:rsid w:val="00C209C9"/>
    <w:pPr>
      <w:numPr>
        <w:numId w:val="1"/>
      </w:numPr>
    </w:pPr>
    <w:rPr>
      <w:b/>
      <w:color w:val="0F243E" w:themeColor="text2" w:themeShade="80"/>
      <w:sz w:val="26"/>
      <w:szCs w:val="20"/>
    </w:rPr>
  </w:style>
  <w:style w:type="character" w:styleId="FollowedHyperlink">
    <w:name w:val="FollowedHyperlink"/>
    <w:basedOn w:val="DefaultParagraphFont"/>
    <w:uiPriority w:val="99"/>
    <w:semiHidden/>
    <w:unhideWhenUsed/>
    <w:rsid w:val="00912EDC"/>
    <w:rPr>
      <w:color w:val="800080" w:themeColor="followedHyperlink"/>
      <w:u w:val="single"/>
    </w:rPr>
  </w:style>
  <w:style w:type="character" w:styleId="Strong">
    <w:name w:val="Strong"/>
    <w:basedOn w:val="DefaultParagraphFont"/>
    <w:uiPriority w:val="22"/>
    <w:qFormat/>
    <w:rsid w:val="003841FE"/>
    <w:rPr>
      <w:b/>
      <w:bCs/>
    </w:rPr>
  </w:style>
  <w:style w:type="paragraph" w:styleId="Revision">
    <w:name w:val="Revision"/>
    <w:hidden/>
    <w:uiPriority w:val="99"/>
    <w:semiHidden/>
    <w:rsid w:val="00707321"/>
    <w:pPr>
      <w:spacing w:after="0" w:line="240" w:lineRule="auto"/>
    </w:pPr>
    <w:rPr>
      <w:rFonts w:ascii="Times New Roman" w:hAnsi="Times New Roman"/>
    </w:rPr>
  </w:style>
  <w:style w:type="paragraph" w:styleId="Header">
    <w:name w:val="header"/>
    <w:basedOn w:val="Normal"/>
    <w:link w:val="HeaderChar"/>
    <w:uiPriority w:val="99"/>
    <w:unhideWhenUsed/>
    <w:rsid w:val="000E526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E5260"/>
    <w:rPr>
      <w:rFonts w:ascii="Times New Roman" w:hAnsi="Times New Roman"/>
    </w:rPr>
  </w:style>
  <w:style w:type="paragraph" w:styleId="Footer">
    <w:name w:val="footer"/>
    <w:basedOn w:val="Normal"/>
    <w:link w:val="FooterChar"/>
    <w:uiPriority w:val="99"/>
    <w:unhideWhenUsed/>
    <w:rsid w:val="000E526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E5260"/>
    <w:rPr>
      <w:rFonts w:ascii="Times New Roman" w:hAnsi="Times New Roman"/>
    </w:rPr>
  </w:style>
  <w:style w:type="paragraph" w:styleId="Caption">
    <w:name w:val="caption"/>
    <w:basedOn w:val="Normal"/>
    <w:next w:val="Normal"/>
    <w:uiPriority w:val="35"/>
    <w:unhideWhenUsed/>
    <w:qFormat/>
    <w:rsid w:val="00BC4929"/>
    <w:pPr>
      <w:spacing w:before="0" w:line="240" w:lineRule="auto"/>
    </w:pPr>
    <w:rPr>
      <w:b/>
      <w:bCs/>
      <w:color w:val="4F81BD" w:themeColor="accent1"/>
      <w:sz w:val="18"/>
      <w:szCs w:val="18"/>
    </w:rPr>
  </w:style>
  <w:style w:type="paragraph" w:styleId="Title">
    <w:name w:val="Title"/>
    <w:basedOn w:val="Normal"/>
    <w:next w:val="Normal"/>
    <w:link w:val="TitleChar"/>
    <w:uiPriority w:val="10"/>
    <w:qFormat/>
    <w:rsid w:val="005C5B74"/>
    <w:pPr>
      <w:pBdr>
        <w:bottom w:val="single" w:sz="8" w:space="4" w:color="4F81BD" w:themeColor="accent1"/>
      </w:pBdr>
      <w:spacing w:before="0"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C5B74"/>
    <w:rPr>
      <w:rFonts w:asciiTheme="majorHAnsi" w:eastAsiaTheme="majorEastAsia" w:hAnsiTheme="majorHAnsi" w:cstheme="majorBidi"/>
      <w:color w:val="17365D" w:themeColor="text2" w:themeShade="BF"/>
      <w:spacing w:val="5"/>
      <w:kern w:val="28"/>
      <w:sz w:val="52"/>
      <w:szCs w:val="52"/>
    </w:rPr>
  </w:style>
  <w:style w:type="paragraph" w:styleId="TOC2">
    <w:name w:val="toc 2"/>
    <w:basedOn w:val="Normal"/>
    <w:next w:val="Normal"/>
    <w:autoRedefine/>
    <w:uiPriority w:val="39"/>
    <w:unhideWhenUsed/>
    <w:rsid w:val="00F8698B"/>
    <w:pPr>
      <w:spacing w:after="100"/>
      <w:ind w:left="432"/>
    </w:pPr>
  </w:style>
  <w:style w:type="paragraph" w:styleId="TOC1">
    <w:name w:val="toc 1"/>
    <w:basedOn w:val="Normal"/>
    <w:next w:val="Normal"/>
    <w:autoRedefine/>
    <w:uiPriority w:val="39"/>
    <w:unhideWhenUsed/>
    <w:rsid w:val="005C5B74"/>
    <w:pPr>
      <w:spacing w:after="100"/>
    </w:pPr>
  </w:style>
  <w:style w:type="paragraph" w:styleId="TOC3">
    <w:name w:val="toc 3"/>
    <w:basedOn w:val="Normal"/>
    <w:next w:val="Normal"/>
    <w:autoRedefine/>
    <w:uiPriority w:val="39"/>
    <w:unhideWhenUsed/>
    <w:rsid w:val="005C5B74"/>
    <w:pPr>
      <w:spacing w:after="100"/>
      <w:ind w:left="440"/>
    </w:pPr>
  </w:style>
  <w:style w:type="table" w:styleId="LightList-Accent1">
    <w:name w:val="Light List Accent 1"/>
    <w:basedOn w:val="TableNormal"/>
    <w:uiPriority w:val="61"/>
    <w:rsid w:val="00D62D2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28956">
      <w:bodyDiv w:val="1"/>
      <w:marLeft w:val="0"/>
      <w:marRight w:val="0"/>
      <w:marTop w:val="0"/>
      <w:marBottom w:val="0"/>
      <w:divBdr>
        <w:top w:val="none" w:sz="0" w:space="0" w:color="auto"/>
        <w:left w:val="none" w:sz="0" w:space="0" w:color="auto"/>
        <w:bottom w:val="none" w:sz="0" w:space="0" w:color="auto"/>
        <w:right w:val="none" w:sz="0" w:space="0" w:color="auto"/>
      </w:divBdr>
    </w:div>
    <w:div w:id="83261887">
      <w:bodyDiv w:val="1"/>
      <w:marLeft w:val="0"/>
      <w:marRight w:val="0"/>
      <w:marTop w:val="0"/>
      <w:marBottom w:val="0"/>
      <w:divBdr>
        <w:top w:val="none" w:sz="0" w:space="0" w:color="auto"/>
        <w:left w:val="none" w:sz="0" w:space="0" w:color="auto"/>
        <w:bottom w:val="none" w:sz="0" w:space="0" w:color="auto"/>
        <w:right w:val="none" w:sz="0" w:space="0" w:color="auto"/>
      </w:divBdr>
      <w:divsChild>
        <w:div w:id="612593922">
          <w:marLeft w:val="0"/>
          <w:marRight w:val="0"/>
          <w:marTop w:val="0"/>
          <w:marBottom w:val="0"/>
          <w:divBdr>
            <w:top w:val="none" w:sz="0" w:space="0" w:color="auto"/>
            <w:left w:val="none" w:sz="0" w:space="0" w:color="auto"/>
            <w:bottom w:val="none" w:sz="0" w:space="0" w:color="auto"/>
            <w:right w:val="none" w:sz="0" w:space="0" w:color="auto"/>
          </w:divBdr>
        </w:div>
        <w:div w:id="703403695">
          <w:marLeft w:val="0"/>
          <w:marRight w:val="0"/>
          <w:marTop w:val="0"/>
          <w:marBottom w:val="0"/>
          <w:divBdr>
            <w:top w:val="none" w:sz="0" w:space="0" w:color="auto"/>
            <w:left w:val="none" w:sz="0" w:space="0" w:color="auto"/>
            <w:bottom w:val="none" w:sz="0" w:space="0" w:color="auto"/>
            <w:right w:val="none" w:sz="0" w:space="0" w:color="auto"/>
          </w:divBdr>
        </w:div>
        <w:div w:id="833182304">
          <w:marLeft w:val="0"/>
          <w:marRight w:val="0"/>
          <w:marTop w:val="0"/>
          <w:marBottom w:val="0"/>
          <w:divBdr>
            <w:top w:val="none" w:sz="0" w:space="0" w:color="auto"/>
            <w:left w:val="none" w:sz="0" w:space="0" w:color="auto"/>
            <w:bottom w:val="none" w:sz="0" w:space="0" w:color="auto"/>
            <w:right w:val="none" w:sz="0" w:space="0" w:color="auto"/>
          </w:divBdr>
        </w:div>
        <w:div w:id="1202329313">
          <w:marLeft w:val="0"/>
          <w:marRight w:val="0"/>
          <w:marTop w:val="0"/>
          <w:marBottom w:val="0"/>
          <w:divBdr>
            <w:top w:val="none" w:sz="0" w:space="0" w:color="auto"/>
            <w:left w:val="none" w:sz="0" w:space="0" w:color="auto"/>
            <w:bottom w:val="none" w:sz="0" w:space="0" w:color="auto"/>
            <w:right w:val="none" w:sz="0" w:space="0" w:color="auto"/>
          </w:divBdr>
        </w:div>
        <w:div w:id="1240359666">
          <w:marLeft w:val="0"/>
          <w:marRight w:val="0"/>
          <w:marTop w:val="0"/>
          <w:marBottom w:val="0"/>
          <w:divBdr>
            <w:top w:val="none" w:sz="0" w:space="0" w:color="auto"/>
            <w:left w:val="none" w:sz="0" w:space="0" w:color="auto"/>
            <w:bottom w:val="none" w:sz="0" w:space="0" w:color="auto"/>
            <w:right w:val="none" w:sz="0" w:space="0" w:color="auto"/>
          </w:divBdr>
        </w:div>
        <w:div w:id="1476408706">
          <w:marLeft w:val="0"/>
          <w:marRight w:val="0"/>
          <w:marTop w:val="0"/>
          <w:marBottom w:val="0"/>
          <w:divBdr>
            <w:top w:val="none" w:sz="0" w:space="0" w:color="auto"/>
            <w:left w:val="none" w:sz="0" w:space="0" w:color="auto"/>
            <w:bottom w:val="none" w:sz="0" w:space="0" w:color="auto"/>
            <w:right w:val="none" w:sz="0" w:space="0" w:color="auto"/>
          </w:divBdr>
        </w:div>
        <w:div w:id="1496454370">
          <w:marLeft w:val="0"/>
          <w:marRight w:val="0"/>
          <w:marTop w:val="0"/>
          <w:marBottom w:val="0"/>
          <w:divBdr>
            <w:top w:val="none" w:sz="0" w:space="0" w:color="auto"/>
            <w:left w:val="none" w:sz="0" w:space="0" w:color="auto"/>
            <w:bottom w:val="none" w:sz="0" w:space="0" w:color="auto"/>
            <w:right w:val="none" w:sz="0" w:space="0" w:color="auto"/>
          </w:divBdr>
        </w:div>
        <w:div w:id="2029984908">
          <w:marLeft w:val="0"/>
          <w:marRight w:val="0"/>
          <w:marTop w:val="0"/>
          <w:marBottom w:val="0"/>
          <w:divBdr>
            <w:top w:val="none" w:sz="0" w:space="0" w:color="auto"/>
            <w:left w:val="none" w:sz="0" w:space="0" w:color="auto"/>
            <w:bottom w:val="none" w:sz="0" w:space="0" w:color="auto"/>
            <w:right w:val="none" w:sz="0" w:space="0" w:color="auto"/>
          </w:divBdr>
        </w:div>
      </w:divsChild>
    </w:div>
    <w:div w:id="247858406">
      <w:bodyDiv w:val="1"/>
      <w:marLeft w:val="0"/>
      <w:marRight w:val="0"/>
      <w:marTop w:val="0"/>
      <w:marBottom w:val="0"/>
      <w:divBdr>
        <w:top w:val="none" w:sz="0" w:space="0" w:color="auto"/>
        <w:left w:val="none" w:sz="0" w:space="0" w:color="auto"/>
        <w:bottom w:val="none" w:sz="0" w:space="0" w:color="auto"/>
        <w:right w:val="none" w:sz="0" w:space="0" w:color="auto"/>
      </w:divBdr>
    </w:div>
    <w:div w:id="613944767">
      <w:bodyDiv w:val="1"/>
      <w:marLeft w:val="0"/>
      <w:marRight w:val="0"/>
      <w:marTop w:val="0"/>
      <w:marBottom w:val="0"/>
      <w:divBdr>
        <w:top w:val="none" w:sz="0" w:space="0" w:color="auto"/>
        <w:left w:val="none" w:sz="0" w:space="0" w:color="auto"/>
        <w:bottom w:val="none" w:sz="0" w:space="0" w:color="auto"/>
        <w:right w:val="none" w:sz="0" w:space="0" w:color="auto"/>
      </w:divBdr>
    </w:div>
    <w:div w:id="1077552822">
      <w:bodyDiv w:val="1"/>
      <w:marLeft w:val="0"/>
      <w:marRight w:val="0"/>
      <w:marTop w:val="0"/>
      <w:marBottom w:val="0"/>
      <w:divBdr>
        <w:top w:val="none" w:sz="0" w:space="0" w:color="auto"/>
        <w:left w:val="none" w:sz="0" w:space="0" w:color="auto"/>
        <w:bottom w:val="none" w:sz="0" w:space="0" w:color="auto"/>
        <w:right w:val="none" w:sz="0" w:space="0" w:color="auto"/>
      </w:divBdr>
    </w:div>
    <w:div w:id="1193420441">
      <w:bodyDiv w:val="1"/>
      <w:marLeft w:val="0"/>
      <w:marRight w:val="0"/>
      <w:marTop w:val="0"/>
      <w:marBottom w:val="0"/>
      <w:divBdr>
        <w:top w:val="none" w:sz="0" w:space="0" w:color="auto"/>
        <w:left w:val="none" w:sz="0" w:space="0" w:color="auto"/>
        <w:bottom w:val="none" w:sz="0" w:space="0" w:color="auto"/>
        <w:right w:val="none" w:sz="0" w:space="0" w:color="auto"/>
      </w:divBdr>
    </w:div>
    <w:div w:id="1217817522">
      <w:bodyDiv w:val="1"/>
      <w:marLeft w:val="0"/>
      <w:marRight w:val="0"/>
      <w:marTop w:val="0"/>
      <w:marBottom w:val="0"/>
      <w:divBdr>
        <w:top w:val="none" w:sz="0" w:space="0" w:color="auto"/>
        <w:left w:val="none" w:sz="0" w:space="0" w:color="auto"/>
        <w:bottom w:val="none" w:sz="0" w:space="0" w:color="auto"/>
        <w:right w:val="none" w:sz="0" w:space="0" w:color="auto"/>
      </w:divBdr>
    </w:div>
    <w:div w:id="1319381864">
      <w:bodyDiv w:val="1"/>
      <w:marLeft w:val="0"/>
      <w:marRight w:val="0"/>
      <w:marTop w:val="0"/>
      <w:marBottom w:val="0"/>
      <w:divBdr>
        <w:top w:val="none" w:sz="0" w:space="0" w:color="auto"/>
        <w:left w:val="none" w:sz="0" w:space="0" w:color="auto"/>
        <w:bottom w:val="none" w:sz="0" w:space="0" w:color="auto"/>
        <w:right w:val="none" w:sz="0" w:space="0" w:color="auto"/>
      </w:divBdr>
      <w:divsChild>
        <w:div w:id="15351871">
          <w:marLeft w:val="0"/>
          <w:marRight w:val="0"/>
          <w:marTop w:val="0"/>
          <w:marBottom w:val="0"/>
          <w:divBdr>
            <w:top w:val="none" w:sz="0" w:space="0" w:color="auto"/>
            <w:left w:val="none" w:sz="0" w:space="0" w:color="auto"/>
            <w:bottom w:val="none" w:sz="0" w:space="0" w:color="auto"/>
            <w:right w:val="none" w:sz="0" w:space="0" w:color="auto"/>
          </w:divBdr>
        </w:div>
        <w:div w:id="88241600">
          <w:marLeft w:val="0"/>
          <w:marRight w:val="0"/>
          <w:marTop w:val="0"/>
          <w:marBottom w:val="0"/>
          <w:divBdr>
            <w:top w:val="none" w:sz="0" w:space="0" w:color="auto"/>
            <w:left w:val="none" w:sz="0" w:space="0" w:color="auto"/>
            <w:bottom w:val="none" w:sz="0" w:space="0" w:color="auto"/>
            <w:right w:val="none" w:sz="0" w:space="0" w:color="auto"/>
          </w:divBdr>
        </w:div>
        <w:div w:id="148063689">
          <w:marLeft w:val="0"/>
          <w:marRight w:val="0"/>
          <w:marTop w:val="0"/>
          <w:marBottom w:val="0"/>
          <w:divBdr>
            <w:top w:val="none" w:sz="0" w:space="0" w:color="auto"/>
            <w:left w:val="none" w:sz="0" w:space="0" w:color="auto"/>
            <w:bottom w:val="none" w:sz="0" w:space="0" w:color="auto"/>
            <w:right w:val="none" w:sz="0" w:space="0" w:color="auto"/>
          </w:divBdr>
        </w:div>
        <w:div w:id="259608686">
          <w:marLeft w:val="0"/>
          <w:marRight w:val="0"/>
          <w:marTop w:val="0"/>
          <w:marBottom w:val="0"/>
          <w:divBdr>
            <w:top w:val="none" w:sz="0" w:space="0" w:color="auto"/>
            <w:left w:val="none" w:sz="0" w:space="0" w:color="auto"/>
            <w:bottom w:val="none" w:sz="0" w:space="0" w:color="auto"/>
            <w:right w:val="none" w:sz="0" w:space="0" w:color="auto"/>
          </w:divBdr>
        </w:div>
        <w:div w:id="276529046">
          <w:marLeft w:val="0"/>
          <w:marRight w:val="0"/>
          <w:marTop w:val="0"/>
          <w:marBottom w:val="0"/>
          <w:divBdr>
            <w:top w:val="none" w:sz="0" w:space="0" w:color="auto"/>
            <w:left w:val="none" w:sz="0" w:space="0" w:color="auto"/>
            <w:bottom w:val="none" w:sz="0" w:space="0" w:color="auto"/>
            <w:right w:val="none" w:sz="0" w:space="0" w:color="auto"/>
          </w:divBdr>
        </w:div>
        <w:div w:id="347799875">
          <w:marLeft w:val="0"/>
          <w:marRight w:val="0"/>
          <w:marTop w:val="0"/>
          <w:marBottom w:val="0"/>
          <w:divBdr>
            <w:top w:val="none" w:sz="0" w:space="0" w:color="auto"/>
            <w:left w:val="none" w:sz="0" w:space="0" w:color="auto"/>
            <w:bottom w:val="none" w:sz="0" w:space="0" w:color="auto"/>
            <w:right w:val="none" w:sz="0" w:space="0" w:color="auto"/>
          </w:divBdr>
        </w:div>
        <w:div w:id="516502357">
          <w:marLeft w:val="0"/>
          <w:marRight w:val="0"/>
          <w:marTop w:val="0"/>
          <w:marBottom w:val="0"/>
          <w:divBdr>
            <w:top w:val="none" w:sz="0" w:space="0" w:color="auto"/>
            <w:left w:val="none" w:sz="0" w:space="0" w:color="auto"/>
            <w:bottom w:val="none" w:sz="0" w:space="0" w:color="auto"/>
            <w:right w:val="none" w:sz="0" w:space="0" w:color="auto"/>
          </w:divBdr>
        </w:div>
        <w:div w:id="629553980">
          <w:marLeft w:val="0"/>
          <w:marRight w:val="0"/>
          <w:marTop w:val="0"/>
          <w:marBottom w:val="0"/>
          <w:divBdr>
            <w:top w:val="none" w:sz="0" w:space="0" w:color="auto"/>
            <w:left w:val="none" w:sz="0" w:space="0" w:color="auto"/>
            <w:bottom w:val="none" w:sz="0" w:space="0" w:color="auto"/>
            <w:right w:val="none" w:sz="0" w:space="0" w:color="auto"/>
          </w:divBdr>
        </w:div>
        <w:div w:id="688214542">
          <w:marLeft w:val="0"/>
          <w:marRight w:val="0"/>
          <w:marTop w:val="0"/>
          <w:marBottom w:val="0"/>
          <w:divBdr>
            <w:top w:val="none" w:sz="0" w:space="0" w:color="auto"/>
            <w:left w:val="none" w:sz="0" w:space="0" w:color="auto"/>
            <w:bottom w:val="none" w:sz="0" w:space="0" w:color="auto"/>
            <w:right w:val="none" w:sz="0" w:space="0" w:color="auto"/>
          </w:divBdr>
        </w:div>
        <w:div w:id="830676781">
          <w:marLeft w:val="0"/>
          <w:marRight w:val="0"/>
          <w:marTop w:val="0"/>
          <w:marBottom w:val="0"/>
          <w:divBdr>
            <w:top w:val="none" w:sz="0" w:space="0" w:color="auto"/>
            <w:left w:val="none" w:sz="0" w:space="0" w:color="auto"/>
            <w:bottom w:val="none" w:sz="0" w:space="0" w:color="auto"/>
            <w:right w:val="none" w:sz="0" w:space="0" w:color="auto"/>
          </w:divBdr>
        </w:div>
        <w:div w:id="973367281">
          <w:marLeft w:val="0"/>
          <w:marRight w:val="0"/>
          <w:marTop w:val="0"/>
          <w:marBottom w:val="0"/>
          <w:divBdr>
            <w:top w:val="none" w:sz="0" w:space="0" w:color="auto"/>
            <w:left w:val="none" w:sz="0" w:space="0" w:color="auto"/>
            <w:bottom w:val="none" w:sz="0" w:space="0" w:color="auto"/>
            <w:right w:val="none" w:sz="0" w:space="0" w:color="auto"/>
          </w:divBdr>
        </w:div>
        <w:div w:id="1009214462">
          <w:marLeft w:val="0"/>
          <w:marRight w:val="0"/>
          <w:marTop w:val="0"/>
          <w:marBottom w:val="0"/>
          <w:divBdr>
            <w:top w:val="none" w:sz="0" w:space="0" w:color="auto"/>
            <w:left w:val="none" w:sz="0" w:space="0" w:color="auto"/>
            <w:bottom w:val="none" w:sz="0" w:space="0" w:color="auto"/>
            <w:right w:val="none" w:sz="0" w:space="0" w:color="auto"/>
          </w:divBdr>
        </w:div>
        <w:div w:id="1291352327">
          <w:marLeft w:val="0"/>
          <w:marRight w:val="0"/>
          <w:marTop w:val="0"/>
          <w:marBottom w:val="0"/>
          <w:divBdr>
            <w:top w:val="none" w:sz="0" w:space="0" w:color="auto"/>
            <w:left w:val="none" w:sz="0" w:space="0" w:color="auto"/>
            <w:bottom w:val="none" w:sz="0" w:space="0" w:color="auto"/>
            <w:right w:val="none" w:sz="0" w:space="0" w:color="auto"/>
          </w:divBdr>
        </w:div>
        <w:div w:id="1461191248">
          <w:marLeft w:val="0"/>
          <w:marRight w:val="0"/>
          <w:marTop w:val="0"/>
          <w:marBottom w:val="0"/>
          <w:divBdr>
            <w:top w:val="none" w:sz="0" w:space="0" w:color="auto"/>
            <w:left w:val="none" w:sz="0" w:space="0" w:color="auto"/>
            <w:bottom w:val="none" w:sz="0" w:space="0" w:color="auto"/>
            <w:right w:val="none" w:sz="0" w:space="0" w:color="auto"/>
          </w:divBdr>
        </w:div>
        <w:div w:id="1494756791">
          <w:marLeft w:val="0"/>
          <w:marRight w:val="0"/>
          <w:marTop w:val="0"/>
          <w:marBottom w:val="0"/>
          <w:divBdr>
            <w:top w:val="none" w:sz="0" w:space="0" w:color="auto"/>
            <w:left w:val="none" w:sz="0" w:space="0" w:color="auto"/>
            <w:bottom w:val="none" w:sz="0" w:space="0" w:color="auto"/>
            <w:right w:val="none" w:sz="0" w:space="0" w:color="auto"/>
          </w:divBdr>
        </w:div>
        <w:div w:id="1781951695">
          <w:marLeft w:val="0"/>
          <w:marRight w:val="0"/>
          <w:marTop w:val="0"/>
          <w:marBottom w:val="0"/>
          <w:divBdr>
            <w:top w:val="none" w:sz="0" w:space="0" w:color="auto"/>
            <w:left w:val="none" w:sz="0" w:space="0" w:color="auto"/>
            <w:bottom w:val="none" w:sz="0" w:space="0" w:color="auto"/>
            <w:right w:val="none" w:sz="0" w:space="0" w:color="auto"/>
          </w:divBdr>
        </w:div>
        <w:div w:id="1832672133">
          <w:marLeft w:val="0"/>
          <w:marRight w:val="0"/>
          <w:marTop w:val="0"/>
          <w:marBottom w:val="0"/>
          <w:divBdr>
            <w:top w:val="none" w:sz="0" w:space="0" w:color="auto"/>
            <w:left w:val="none" w:sz="0" w:space="0" w:color="auto"/>
            <w:bottom w:val="none" w:sz="0" w:space="0" w:color="auto"/>
            <w:right w:val="none" w:sz="0" w:space="0" w:color="auto"/>
          </w:divBdr>
        </w:div>
        <w:div w:id="1834447111">
          <w:marLeft w:val="0"/>
          <w:marRight w:val="0"/>
          <w:marTop w:val="0"/>
          <w:marBottom w:val="0"/>
          <w:divBdr>
            <w:top w:val="none" w:sz="0" w:space="0" w:color="auto"/>
            <w:left w:val="none" w:sz="0" w:space="0" w:color="auto"/>
            <w:bottom w:val="none" w:sz="0" w:space="0" w:color="auto"/>
            <w:right w:val="none" w:sz="0" w:space="0" w:color="auto"/>
          </w:divBdr>
        </w:div>
        <w:div w:id="1984003034">
          <w:marLeft w:val="0"/>
          <w:marRight w:val="0"/>
          <w:marTop w:val="0"/>
          <w:marBottom w:val="0"/>
          <w:divBdr>
            <w:top w:val="none" w:sz="0" w:space="0" w:color="auto"/>
            <w:left w:val="none" w:sz="0" w:space="0" w:color="auto"/>
            <w:bottom w:val="none" w:sz="0" w:space="0" w:color="auto"/>
            <w:right w:val="none" w:sz="0" w:space="0" w:color="auto"/>
          </w:divBdr>
        </w:div>
      </w:divsChild>
    </w:div>
    <w:div w:id="1329600966">
      <w:bodyDiv w:val="1"/>
      <w:marLeft w:val="0"/>
      <w:marRight w:val="0"/>
      <w:marTop w:val="0"/>
      <w:marBottom w:val="0"/>
      <w:divBdr>
        <w:top w:val="none" w:sz="0" w:space="0" w:color="auto"/>
        <w:left w:val="none" w:sz="0" w:space="0" w:color="auto"/>
        <w:bottom w:val="none" w:sz="0" w:space="0" w:color="auto"/>
        <w:right w:val="none" w:sz="0" w:space="0" w:color="auto"/>
      </w:divBdr>
    </w:div>
    <w:div w:id="1410276252">
      <w:bodyDiv w:val="1"/>
      <w:marLeft w:val="0"/>
      <w:marRight w:val="0"/>
      <w:marTop w:val="0"/>
      <w:marBottom w:val="0"/>
      <w:divBdr>
        <w:top w:val="none" w:sz="0" w:space="0" w:color="auto"/>
        <w:left w:val="none" w:sz="0" w:space="0" w:color="auto"/>
        <w:bottom w:val="none" w:sz="0" w:space="0" w:color="auto"/>
        <w:right w:val="none" w:sz="0" w:space="0" w:color="auto"/>
      </w:divBdr>
      <w:divsChild>
        <w:div w:id="2035425628">
          <w:marLeft w:val="547"/>
          <w:marRight w:val="0"/>
          <w:marTop w:val="106"/>
          <w:marBottom w:val="0"/>
          <w:divBdr>
            <w:top w:val="none" w:sz="0" w:space="0" w:color="auto"/>
            <w:left w:val="none" w:sz="0" w:space="0" w:color="auto"/>
            <w:bottom w:val="none" w:sz="0" w:space="0" w:color="auto"/>
            <w:right w:val="none" w:sz="0" w:space="0" w:color="auto"/>
          </w:divBdr>
        </w:div>
      </w:divsChild>
    </w:div>
    <w:div w:id="1593969593">
      <w:bodyDiv w:val="1"/>
      <w:marLeft w:val="0"/>
      <w:marRight w:val="0"/>
      <w:marTop w:val="0"/>
      <w:marBottom w:val="0"/>
      <w:divBdr>
        <w:top w:val="none" w:sz="0" w:space="0" w:color="auto"/>
        <w:left w:val="none" w:sz="0" w:space="0" w:color="auto"/>
        <w:bottom w:val="none" w:sz="0" w:space="0" w:color="auto"/>
        <w:right w:val="none" w:sz="0" w:space="0" w:color="auto"/>
      </w:divBdr>
    </w:div>
    <w:div w:id="1745639064">
      <w:bodyDiv w:val="1"/>
      <w:marLeft w:val="0"/>
      <w:marRight w:val="0"/>
      <w:marTop w:val="0"/>
      <w:marBottom w:val="0"/>
      <w:divBdr>
        <w:top w:val="none" w:sz="0" w:space="0" w:color="auto"/>
        <w:left w:val="none" w:sz="0" w:space="0" w:color="auto"/>
        <w:bottom w:val="none" w:sz="0" w:space="0" w:color="auto"/>
        <w:right w:val="none" w:sz="0" w:space="0" w:color="auto"/>
      </w:divBdr>
    </w:div>
    <w:div w:id="2011397767">
      <w:bodyDiv w:val="1"/>
      <w:marLeft w:val="0"/>
      <w:marRight w:val="0"/>
      <w:marTop w:val="0"/>
      <w:marBottom w:val="0"/>
      <w:divBdr>
        <w:top w:val="none" w:sz="0" w:space="0" w:color="auto"/>
        <w:left w:val="none" w:sz="0" w:space="0" w:color="auto"/>
        <w:bottom w:val="none" w:sz="0" w:space="0" w:color="auto"/>
        <w:right w:val="none" w:sz="0" w:space="0" w:color="auto"/>
      </w:divBdr>
      <w:divsChild>
        <w:div w:id="187762505">
          <w:marLeft w:val="0"/>
          <w:marRight w:val="0"/>
          <w:marTop w:val="0"/>
          <w:marBottom w:val="0"/>
          <w:divBdr>
            <w:top w:val="none" w:sz="0" w:space="0" w:color="auto"/>
            <w:left w:val="none" w:sz="0" w:space="0" w:color="auto"/>
            <w:bottom w:val="none" w:sz="0" w:space="0" w:color="auto"/>
            <w:right w:val="none" w:sz="0" w:space="0" w:color="auto"/>
          </w:divBdr>
        </w:div>
        <w:div w:id="268128327">
          <w:marLeft w:val="0"/>
          <w:marRight w:val="0"/>
          <w:marTop w:val="0"/>
          <w:marBottom w:val="0"/>
          <w:divBdr>
            <w:top w:val="none" w:sz="0" w:space="0" w:color="auto"/>
            <w:left w:val="none" w:sz="0" w:space="0" w:color="auto"/>
            <w:bottom w:val="none" w:sz="0" w:space="0" w:color="auto"/>
            <w:right w:val="none" w:sz="0" w:space="0" w:color="auto"/>
          </w:divBdr>
        </w:div>
        <w:div w:id="382489616">
          <w:marLeft w:val="0"/>
          <w:marRight w:val="0"/>
          <w:marTop w:val="0"/>
          <w:marBottom w:val="0"/>
          <w:divBdr>
            <w:top w:val="none" w:sz="0" w:space="0" w:color="auto"/>
            <w:left w:val="none" w:sz="0" w:space="0" w:color="auto"/>
            <w:bottom w:val="none" w:sz="0" w:space="0" w:color="auto"/>
            <w:right w:val="none" w:sz="0" w:space="0" w:color="auto"/>
          </w:divBdr>
        </w:div>
        <w:div w:id="547112056">
          <w:marLeft w:val="0"/>
          <w:marRight w:val="0"/>
          <w:marTop w:val="0"/>
          <w:marBottom w:val="0"/>
          <w:divBdr>
            <w:top w:val="none" w:sz="0" w:space="0" w:color="auto"/>
            <w:left w:val="none" w:sz="0" w:space="0" w:color="auto"/>
            <w:bottom w:val="none" w:sz="0" w:space="0" w:color="auto"/>
            <w:right w:val="none" w:sz="0" w:space="0" w:color="auto"/>
          </w:divBdr>
        </w:div>
        <w:div w:id="1152136082">
          <w:marLeft w:val="0"/>
          <w:marRight w:val="0"/>
          <w:marTop w:val="0"/>
          <w:marBottom w:val="0"/>
          <w:divBdr>
            <w:top w:val="none" w:sz="0" w:space="0" w:color="auto"/>
            <w:left w:val="none" w:sz="0" w:space="0" w:color="auto"/>
            <w:bottom w:val="none" w:sz="0" w:space="0" w:color="auto"/>
            <w:right w:val="none" w:sz="0" w:space="0" w:color="auto"/>
          </w:divBdr>
        </w:div>
        <w:div w:id="1411927532">
          <w:marLeft w:val="0"/>
          <w:marRight w:val="0"/>
          <w:marTop w:val="0"/>
          <w:marBottom w:val="0"/>
          <w:divBdr>
            <w:top w:val="none" w:sz="0" w:space="0" w:color="auto"/>
            <w:left w:val="none" w:sz="0" w:space="0" w:color="auto"/>
            <w:bottom w:val="none" w:sz="0" w:space="0" w:color="auto"/>
            <w:right w:val="none" w:sz="0" w:space="0" w:color="auto"/>
          </w:divBdr>
        </w:div>
        <w:div w:id="1419668328">
          <w:marLeft w:val="0"/>
          <w:marRight w:val="0"/>
          <w:marTop w:val="0"/>
          <w:marBottom w:val="0"/>
          <w:divBdr>
            <w:top w:val="none" w:sz="0" w:space="0" w:color="auto"/>
            <w:left w:val="none" w:sz="0" w:space="0" w:color="auto"/>
            <w:bottom w:val="none" w:sz="0" w:space="0" w:color="auto"/>
            <w:right w:val="none" w:sz="0" w:space="0" w:color="auto"/>
          </w:divBdr>
        </w:div>
        <w:div w:id="1565489822">
          <w:marLeft w:val="0"/>
          <w:marRight w:val="0"/>
          <w:marTop w:val="0"/>
          <w:marBottom w:val="0"/>
          <w:divBdr>
            <w:top w:val="none" w:sz="0" w:space="0" w:color="auto"/>
            <w:left w:val="none" w:sz="0" w:space="0" w:color="auto"/>
            <w:bottom w:val="none" w:sz="0" w:space="0" w:color="auto"/>
            <w:right w:val="none" w:sz="0" w:space="0" w:color="auto"/>
          </w:divBdr>
        </w:div>
        <w:div w:id="2043702745">
          <w:marLeft w:val="0"/>
          <w:marRight w:val="0"/>
          <w:marTop w:val="0"/>
          <w:marBottom w:val="0"/>
          <w:divBdr>
            <w:top w:val="none" w:sz="0" w:space="0" w:color="auto"/>
            <w:left w:val="none" w:sz="0" w:space="0" w:color="auto"/>
            <w:bottom w:val="none" w:sz="0" w:space="0" w:color="auto"/>
            <w:right w:val="none" w:sz="0" w:space="0" w:color="auto"/>
          </w:divBdr>
        </w:div>
      </w:divsChild>
    </w:div>
    <w:div w:id="2094693306">
      <w:bodyDiv w:val="1"/>
      <w:marLeft w:val="0"/>
      <w:marRight w:val="0"/>
      <w:marTop w:val="0"/>
      <w:marBottom w:val="0"/>
      <w:divBdr>
        <w:top w:val="none" w:sz="0" w:space="0" w:color="auto"/>
        <w:left w:val="none" w:sz="0" w:space="0" w:color="auto"/>
        <w:bottom w:val="none" w:sz="0" w:space="0" w:color="auto"/>
        <w:right w:val="none" w:sz="0" w:space="0" w:color="auto"/>
      </w:divBdr>
    </w:div>
    <w:div w:id="210868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google.com/url?sa=t&amp;rct=j&amp;q=&amp;esrc=s&amp;source=web&amp;cd=1&amp;cad=rja&amp;uact=8&amp;ved=0CCgQFjAA&amp;url=http%3A%2F%2Fwww.circac.org%2F&amp;ei=p6-LU6bhJ4iSyASfqILIBA&amp;usg=AFQjCNHL4M-Iks7mw8X997UeU1uO342FAA&amp;bvm=bv.67720277,d.aWw" TargetMode="External"/><Relationship Id="rId26" Type="http://schemas.openxmlformats.org/officeDocument/2006/relationships/hyperlink" Target="http://goo.gl/9nP7dV" TargetMode="External"/><Relationship Id="rId3" Type="http://schemas.openxmlformats.org/officeDocument/2006/relationships/customXml" Target="../customXml/item3.xml"/><Relationship Id="rId21" Type="http://schemas.openxmlformats.org/officeDocument/2006/relationships/hyperlink" Target="http://dec.alaska.gov/water/wqsar/trireview/pdfs/fishconsumption_11-29-2011.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yperlink" Target="http://www.epa.gov/oia/toxics/pop.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adfg.alaska.gov/sf/publications/index.cfm?ADFG=main.reportTypes" TargetMode="External"/><Relationship Id="rId29" Type="http://schemas.openxmlformats.org/officeDocument/2006/relationships/hyperlink" Target="http://seagrant.uaf.edu/conferences/2011/wakefield-people/presentations/lemons-alaska-subsistence-fisheries-databas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ater.epa.gov/scitech/swguidance/standards/criteria/health/methodology/upload/hhfaqs.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ater.epa.gov/scitech/swguidance/fishshellfish/fishadvisories/upload/Estimated-Fish-Consumption-Rates-for-the-U-S-Population-and-Selected-Subpopulations-NHANES-2003-2010.pdf" TargetMode="External"/><Relationship Id="rId28" Type="http://schemas.openxmlformats.org/officeDocument/2006/relationships/hyperlink" Target="https://seagrant.uaf.edu/conferences/2011/wakefield-people/presentations/fall-division-subsistence.pdf" TargetMode="External"/><Relationship Id="rId10" Type="http://schemas.openxmlformats.org/officeDocument/2006/relationships/endnotes" Target="endnotes.xml"/><Relationship Id="rId19" Type="http://schemas.openxmlformats.org/officeDocument/2006/relationships/hyperlink" Target="http://www.adfg.alaska.gov/sb/CSIS/"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legis.state.ak.us/basis/statutes.asp" TargetMode="External"/><Relationship Id="rId27" Type="http://schemas.openxmlformats.org/officeDocument/2006/relationships/hyperlink" Target="http://water.epa.gov/scitech/swguidance/standards/criteria/health/methodology/factsheet.cfm" TargetMode="External"/><Relationship Id="rId30"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D70E13C6890741BEBA009DB963BCA3" ma:contentTypeVersion="0" ma:contentTypeDescription="Create a new document." ma:contentTypeScope="" ma:versionID="9d5572ac57038f3c0276fe40573bda8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52278-466D-47EF-A2C7-C25B456994DB}">
  <ds:schemaRefs>
    <ds:schemaRef ds:uri="http://schemas.microsoft.com/office/2006/metadata/properties"/>
    <ds:schemaRef ds:uri="http://www.w3.org/XML/1998/namespace"/>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319D5272-D460-4544-B977-F15CE5B4A599}">
  <ds:schemaRefs>
    <ds:schemaRef ds:uri="http://schemas.microsoft.com/sharepoint/v3/contenttype/forms"/>
  </ds:schemaRefs>
</ds:datastoreItem>
</file>

<file path=customXml/itemProps3.xml><?xml version="1.0" encoding="utf-8"?>
<ds:datastoreItem xmlns:ds="http://schemas.openxmlformats.org/officeDocument/2006/customXml" ds:itemID="{758F38E5-FC51-4ED0-BCE6-509A8FB66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B24EF45-7C46-49D4-9A60-EBC294120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14699</Words>
  <Characters>83785</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CadmusGroup Inc</Company>
  <LinksUpToDate>false</LinksUpToDate>
  <CharactersWithSpaces>98288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Druanne.Prescott</dc:creator>
  <cp:keywords/>
  <dc:description/>
  <cp:lastModifiedBy>Tabor, Brock</cp:lastModifiedBy>
  <cp:revision>3</cp:revision>
  <cp:lastPrinted>2015-06-24T18:11:00Z</cp:lastPrinted>
  <dcterms:created xsi:type="dcterms:W3CDTF">2015-10-01T23:27:00Z</dcterms:created>
  <dcterms:modified xsi:type="dcterms:W3CDTF">2015-10-13T18:49:00Z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0x0101002AD70E13C6890741BEBA009DB963BCA3</vt:lpwstr>
  </property>
</Properties>
</file>