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2A" w:rsidRDefault="0045762A" w:rsidP="00003CD5">
      <w:pPr>
        <w:tabs>
          <w:tab w:val="left" w:pos="4860"/>
        </w:tabs>
        <w:spacing w:after="0" w:line="240" w:lineRule="auto"/>
        <w:ind w:left="-810" w:right="-720"/>
        <w:rPr>
          <w:rFonts w:ascii="Minion Pro" w:hAnsi="Minion Pro"/>
          <w:b/>
          <w:sz w:val="32"/>
          <w:szCs w:val="32"/>
        </w:rPr>
      </w:pPr>
      <w:r>
        <w:rPr>
          <w:rFonts w:ascii="Minion Pro" w:hAnsi="Minion Pro"/>
          <w:b/>
          <w:noProof/>
          <w:sz w:val="32"/>
          <w:szCs w:val="32"/>
        </w:rPr>
        <w:drawing>
          <wp:inline distT="0" distB="0" distL="0" distR="0">
            <wp:extent cx="3246394" cy="12185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Alaska Header Logo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94" cy="1218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762A" w:rsidRPr="002F25EE" w:rsidRDefault="0045762A" w:rsidP="0045762A">
      <w:pPr>
        <w:spacing w:after="0" w:line="240" w:lineRule="auto"/>
        <w:ind w:left="-360" w:right="-720" w:hanging="180"/>
        <w:rPr>
          <w:rFonts w:ascii="Minion Pro" w:hAnsi="Minion Pro"/>
          <w:sz w:val="24"/>
          <w:szCs w:val="24"/>
        </w:rPr>
      </w:pPr>
    </w:p>
    <w:p w:rsidR="0045762A" w:rsidRPr="002F25EE" w:rsidRDefault="0045762A" w:rsidP="002F25EE">
      <w:pPr>
        <w:spacing w:after="0" w:line="240" w:lineRule="auto"/>
        <w:ind w:right="-720"/>
        <w:rPr>
          <w:rFonts w:ascii="Minion Pro" w:hAnsi="Minion Pro"/>
          <w:sz w:val="24"/>
          <w:szCs w:val="24"/>
        </w:rPr>
      </w:pPr>
    </w:p>
    <w:p w:rsidR="00C60276" w:rsidRDefault="00C60276" w:rsidP="0013295E">
      <w:pPr>
        <w:spacing w:after="0" w:line="240" w:lineRule="auto"/>
        <w:ind w:right="-720"/>
        <w:jc w:val="right"/>
        <w:rPr>
          <w:rFonts w:ascii="Times New Roman" w:hAnsi="Times New Roman" w:cs="Times New Roman"/>
          <w:sz w:val="24"/>
          <w:szCs w:val="24"/>
        </w:rPr>
      </w:pPr>
    </w:p>
    <w:p w:rsidR="008A5904" w:rsidRPr="00C60276" w:rsidRDefault="0013295E" w:rsidP="00774617">
      <w:pPr>
        <w:spacing w:after="0" w:line="240" w:lineRule="auto"/>
        <w:ind w:right="-720"/>
        <w:jc w:val="right"/>
        <w:rPr>
          <w:rFonts w:ascii="Minion Pro" w:hAnsi="Minion Pro"/>
          <w:b/>
          <w:color w:val="4D4D4D"/>
          <w:sz w:val="30"/>
          <w:szCs w:val="30"/>
        </w:rPr>
      </w:pPr>
      <w:r w:rsidRPr="00C60276">
        <w:rPr>
          <w:rFonts w:ascii="Minion Pro" w:hAnsi="Minion Pro"/>
          <w:b/>
          <w:color w:val="4D4D4D"/>
          <w:sz w:val="30"/>
          <w:szCs w:val="30"/>
        </w:rPr>
        <w:lastRenderedPageBreak/>
        <w:t xml:space="preserve">Department of </w:t>
      </w:r>
      <w:r w:rsidR="00957EA9">
        <w:rPr>
          <w:rFonts w:ascii="Minion Pro" w:hAnsi="Minion Pro"/>
          <w:b/>
          <w:color w:val="4D4D4D"/>
          <w:sz w:val="30"/>
          <w:szCs w:val="30"/>
        </w:rPr>
        <w:t>Environmental Conservation</w:t>
      </w:r>
    </w:p>
    <w:p w:rsidR="008A5904" w:rsidRPr="0013295E" w:rsidRDefault="008A5904" w:rsidP="005659F8">
      <w:pPr>
        <w:spacing w:after="0" w:line="240" w:lineRule="auto"/>
        <w:ind w:right="-720"/>
        <w:jc w:val="right"/>
        <w:rPr>
          <w:rFonts w:ascii="Minion Pro" w:hAnsi="Minion Pro"/>
          <w:color w:val="4D4D4D"/>
          <w:sz w:val="12"/>
          <w:szCs w:val="12"/>
        </w:rPr>
      </w:pPr>
    </w:p>
    <w:p w:rsidR="008A5904" w:rsidRDefault="00CE72EE" w:rsidP="005659F8">
      <w:pPr>
        <w:spacing w:after="0" w:line="240" w:lineRule="auto"/>
        <w:ind w:right="-720"/>
        <w:jc w:val="right"/>
        <w:rPr>
          <w:rFonts w:ascii="Minion Pro" w:hAnsi="Minion Pro"/>
          <w:color w:val="4D4D4D"/>
          <w:sz w:val="20"/>
          <w:szCs w:val="20"/>
        </w:rPr>
      </w:pPr>
      <w:r>
        <w:rPr>
          <w:rFonts w:ascii="Minion Pro" w:hAnsi="Minion Pro"/>
          <w:color w:val="4D4D4D"/>
          <w:sz w:val="20"/>
          <w:szCs w:val="20"/>
        </w:rPr>
        <w:t xml:space="preserve">DIVISION OF </w:t>
      </w:r>
      <w:r w:rsidR="00540E7A">
        <w:rPr>
          <w:rFonts w:ascii="Minion Pro" w:hAnsi="Minion Pro"/>
          <w:color w:val="4D4D4D"/>
          <w:sz w:val="20"/>
          <w:szCs w:val="20"/>
        </w:rPr>
        <w:t>WATER</w:t>
      </w:r>
    </w:p>
    <w:p w:rsidR="00957EA9" w:rsidRPr="0013295E" w:rsidRDefault="00AD0795" w:rsidP="005659F8">
      <w:pPr>
        <w:spacing w:after="0" w:line="240" w:lineRule="auto"/>
        <w:ind w:right="-720"/>
        <w:jc w:val="right"/>
        <w:rPr>
          <w:rFonts w:ascii="Minion Pro" w:hAnsi="Minion Pro"/>
          <w:color w:val="4D4D4D"/>
          <w:sz w:val="20"/>
          <w:szCs w:val="20"/>
        </w:rPr>
      </w:pPr>
      <w:r>
        <w:rPr>
          <w:rFonts w:ascii="Minion Pro" w:hAnsi="Minion Pro"/>
          <w:color w:val="4D4D4D"/>
          <w:sz w:val="20"/>
          <w:szCs w:val="20"/>
        </w:rPr>
        <w:t>Water Quality Standards</w:t>
      </w:r>
    </w:p>
    <w:p w:rsidR="00E658AC" w:rsidRPr="0013295E" w:rsidRDefault="00E658AC" w:rsidP="005659F8">
      <w:pPr>
        <w:spacing w:after="0" w:line="240" w:lineRule="auto"/>
        <w:ind w:right="-720"/>
        <w:jc w:val="right"/>
        <w:rPr>
          <w:rFonts w:ascii="Minion Pro" w:hAnsi="Minion Pro"/>
          <w:color w:val="4D4D4D"/>
          <w:sz w:val="12"/>
        </w:rPr>
      </w:pPr>
    </w:p>
    <w:p w:rsidR="00E658AC" w:rsidRPr="0013295E" w:rsidRDefault="0031747B" w:rsidP="005659F8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  <w:r>
        <w:rPr>
          <w:rFonts w:ascii="Century Gothic" w:hAnsi="Century Gothic"/>
          <w:color w:val="4D4D4D"/>
          <w:sz w:val="16"/>
          <w:szCs w:val="16"/>
        </w:rPr>
        <w:t>410 Willoughby Ave, Suite 303</w:t>
      </w:r>
    </w:p>
    <w:p w:rsidR="00785E02" w:rsidRDefault="0031747B" w:rsidP="005659F8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  <w:r>
        <w:rPr>
          <w:rFonts w:ascii="Century Gothic" w:hAnsi="Century Gothic"/>
          <w:color w:val="4D4D4D"/>
          <w:sz w:val="16"/>
          <w:szCs w:val="16"/>
        </w:rPr>
        <w:t>Juneau, Alaska</w:t>
      </w:r>
      <w:r w:rsidR="00957EA9">
        <w:rPr>
          <w:rFonts w:ascii="Century Gothic" w:hAnsi="Century Gothic"/>
          <w:color w:val="4D4D4D"/>
          <w:sz w:val="16"/>
          <w:szCs w:val="16"/>
        </w:rPr>
        <w:t xml:space="preserve"> 99811-1800</w:t>
      </w:r>
    </w:p>
    <w:p w:rsidR="00E658AC" w:rsidRDefault="00957EA9" w:rsidP="005659F8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  <w:r>
        <w:rPr>
          <w:rFonts w:ascii="Century Gothic" w:hAnsi="Century Gothic"/>
          <w:color w:val="4D4D4D"/>
          <w:sz w:val="16"/>
          <w:szCs w:val="16"/>
        </w:rPr>
        <w:t xml:space="preserve">Main: </w:t>
      </w:r>
      <w:r w:rsidR="0031747B">
        <w:rPr>
          <w:rFonts w:ascii="Century Gothic" w:hAnsi="Century Gothic"/>
          <w:color w:val="4D4D4D"/>
          <w:sz w:val="16"/>
          <w:szCs w:val="16"/>
        </w:rPr>
        <w:t>907.465.5185</w:t>
      </w:r>
    </w:p>
    <w:p w:rsidR="00C60276" w:rsidRDefault="00785E02" w:rsidP="00785E02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  <w:r>
        <w:rPr>
          <w:rFonts w:ascii="Century Gothic" w:hAnsi="Century Gothic"/>
          <w:color w:val="4D4D4D"/>
          <w:sz w:val="16"/>
          <w:szCs w:val="16"/>
        </w:rPr>
        <w:t>Fax</w:t>
      </w:r>
      <w:r w:rsidR="00E658AC" w:rsidRPr="0013295E">
        <w:rPr>
          <w:rFonts w:ascii="Century Gothic" w:hAnsi="Century Gothic"/>
          <w:color w:val="4D4D4D"/>
          <w:sz w:val="16"/>
          <w:szCs w:val="16"/>
        </w:rPr>
        <w:t xml:space="preserve">: </w:t>
      </w:r>
      <w:r w:rsidR="0031747B">
        <w:rPr>
          <w:rFonts w:ascii="Century Gothic" w:hAnsi="Century Gothic"/>
          <w:color w:val="4D4D4D"/>
          <w:sz w:val="16"/>
          <w:szCs w:val="16"/>
        </w:rPr>
        <w:t>907.465.5274</w:t>
      </w:r>
    </w:p>
    <w:p w:rsidR="00EB61E2" w:rsidRDefault="00EB61E2" w:rsidP="00785E02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  <w:r>
        <w:rPr>
          <w:rFonts w:ascii="Century Gothic" w:hAnsi="Century Gothic"/>
          <w:color w:val="4D4D4D"/>
          <w:sz w:val="16"/>
          <w:szCs w:val="16"/>
        </w:rPr>
        <w:t>www.</w:t>
      </w:r>
      <w:r w:rsidR="00957EA9">
        <w:rPr>
          <w:rFonts w:ascii="Century Gothic" w:hAnsi="Century Gothic"/>
          <w:color w:val="4D4D4D"/>
          <w:sz w:val="16"/>
          <w:szCs w:val="16"/>
        </w:rPr>
        <w:t>dec</w:t>
      </w:r>
      <w:r>
        <w:rPr>
          <w:rFonts w:ascii="Century Gothic" w:hAnsi="Century Gothic"/>
          <w:color w:val="4D4D4D"/>
          <w:sz w:val="16"/>
          <w:szCs w:val="16"/>
        </w:rPr>
        <w:t>.alaska.gov</w:t>
      </w:r>
    </w:p>
    <w:p w:rsidR="00785E02" w:rsidRDefault="00785E02" w:rsidP="00785E02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</w:pPr>
    </w:p>
    <w:p w:rsidR="00785E02" w:rsidRPr="00C60276" w:rsidRDefault="00785E02" w:rsidP="00785E02">
      <w:pPr>
        <w:spacing w:after="0" w:line="240" w:lineRule="auto"/>
        <w:ind w:right="-720"/>
        <w:jc w:val="right"/>
        <w:rPr>
          <w:rFonts w:ascii="Century Gothic" w:hAnsi="Century Gothic"/>
          <w:color w:val="4D4D4D"/>
          <w:sz w:val="16"/>
          <w:szCs w:val="16"/>
        </w:rPr>
        <w:sectPr w:rsidR="00785E02" w:rsidRPr="00C60276" w:rsidSect="003A3733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630" w:right="1440" w:bottom="1440" w:left="1440" w:header="0" w:footer="720" w:gutter="0"/>
          <w:cols w:num="2" w:space="180"/>
          <w:titlePg/>
          <w:docGrid w:linePitch="360"/>
        </w:sectPr>
      </w:pPr>
    </w:p>
    <w:p w:rsidR="009704DA" w:rsidRDefault="009704DA" w:rsidP="009704DA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40"/>
          <w:szCs w:val="40"/>
        </w:rPr>
      </w:pPr>
      <w:r>
        <w:rPr>
          <w:rFonts w:ascii="Garamond" w:hAnsi="Garamond" w:cs="Minion Pro"/>
          <w:b/>
          <w:color w:val="000000"/>
          <w:sz w:val="40"/>
          <w:szCs w:val="40"/>
        </w:rPr>
        <w:lastRenderedPageBreak/>
        <w:t>DEVELOPMENT OF HUMAN HEALTH CRITERIA IN WATE</w:t>
      </w:r>
      <w:r w:rsidR="007C0970">
        <w:rPr>
          <w:rFonts w:ascii="Garamond" w:hAnsi="Garamond" w:cs="Minion Pro"/>
          <w:b/>
          <w:color w:val="000000"/>
          <w:sz w:val="40"/>
          <w:szCs w:val="40"/>
        </w:rPr>
        <w:t>R</w:t>
      </w:r>
      <w:r>
        <w:rPr>
          <w:rFonts w:ascii="Garamond" w:hAnsi="Garamond" w:cs="Minion Pro"/>
          <w:b/>
          <w:color w:val="000000"/>
          <w:sz w:val="40"/>
          <w:szCs w:val="40"/>
        </w:rPr>
        <w:t xml:space="preserve"> QUALITY STANDARDS</w:t>
      </w:r>
    </w:p>
    <w:p w:rsidR="009704DA" w:rsidRDefault="009704DA" w:rsidP="009704DA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40"/>
          <w:szCs w:val="40"/>
        </w:rPr>
      </w:pPr>
    </w:p>
    <w:p w:rsidR="009704DA" w:rsidRDefault="009704DA" w:rsidP="009704DA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40"/>
          <w:szCs w:val="40"/>
        </w:rPr>
      </w:pPr>
      <w:r>
        <w:rPr>
          <w:rFonts w:ascii="Garamond" w:hAnsi="Garamond" w:cs="Minion Pro"/>
          <w:b/>
          <w:color w:val="000000"/>
          <w:sz w:val="40"/>
          <w:szCs w:val="40"/>
        </w:rPr>
        <w:t xml:space="preserve">Public Workshop </w:t>
      </w:r>
    </w:p>
    <w:p w:rsidR="009704DA" w:rsidRPr="009704DA" w:rsidRDefault="009704DA" w:rsidP="009704DA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40"/>
          <w:szCs w:val="40"/>
        </w:rPr>
      </w:pPr>
    </w:p>
    <w:p w:rsidR="009704DA" w:rsidRDefault="003045C7" w:rsidP="009704DA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  <w:r w:rsidRPr="003045C7">
        <w:rPr>
          <w:rFonts w:ascii="Garamond" w:hAnsi="Garamond" w:cs="Minion Pro"/>
          <w:color w:val="000000"/>
          <w:sz w:val="24"/>
          <w:szCs w:val="24"/>
        </w:rPr>
        <w:t>The Alaska Department of Environmental Conversation</w:t>
      </w:r>
      <w:r w:rsidR="00AD0795">
        <w:rPr>
          <w:rFonts w:ascii="Garamond" w:hAnsi="Garamond" w:cs="Minion Pro"/>
          <w:color w:val="000000"/>
          <w:sz w:val="24"/>
          <w:szCs w:val="24"/>
        </w:rPr>
        <w:t xml:space="preserve"> (DEC)</w:t>
      </w:r>
      <w:r w:rsidRPr="003045C7">
        <w:rPr>
          <w:rFonts w:ascii="Garamond" w:hAnsi="Garamond" w:cs="Minion Pro"/>
          <w:color w:val="000000"/>
          <w:sz w:val="24"/>
          <w:szCs w:val="24"/>
        </w:rPr>
        <w:t xml:space="preserve"> will host a public worksho</w:t>
      </w:r>
      <w:r w:rsidR="000171CB">
        <w:rPr>
          <w:rFonts w:ascii="Garamond" w:hAnsi="Garamond" w:cs="Minion Pro"/>
          <w:color w:val="000000"/>
          <w:sz w:val="24"/>
          <w:szCs w:val="24"/>
        </w:rPr>
        <w:t xml:space="preserve">p on proposed revisions to human health criteria in </w:t>
      </w:r>
      <w:r w:rsidR="00F746AA">
        <w:rPr>
          <w:rFonts w:ascii="Garamond" w:hAnsi="Garamond" w:cs="Minion Pro"/>
          <w:color w:val="000000"/>
          <w:sz w:val="24"/>
          <w:szCs w:val="24"/>
        </w:rPr>
        <w:t xml:space="preserve">state </w:t>
      </w:r>
      <w:r w:rsidR="000171CB">
        <w:rPr>
          <w:rFonts w:ascii="Garamond" w:hAnsi="Garamond" w:cs="Minion Pro"/>
          <w:color w:val="000000"/>
          <w:sz w:val="24"/>
          <w:szCs w:val="24"/>
        </w:rPr>
        <w:t>water quality standards</w:t>
      </w:r>
      <w:r w:rsidRPr="003045C7">
        <w:rPr>
          <w:rFonts w:ascii="Garamond" w:hAnsi="Garamond" w:cs="Minion Pro"/>
          <w:color w:val="000000"/>
          <w:sz w:val="24"/>
          <w:szCs w:val="24"/>
        </w:rPr>
        <w:t xml:space="preserve">. 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 xml:space="preserve">The goal of the workshop is to inform </w:t>
      </w:r>
      <w:r w:rsidR="00F746AA">
        <w:rPr>
          <w:rFonts w:ascii="Garamond" w:hAnsi="Garamond" w:cs="Minion Pro"/>
          <w:color w:val="000000"/>
          <w:sz w:val="24"/>
          <w:szCs w:val="24"/>
        </w:rPr>
        <w:t>Alaska Pollutant Discharge Elimination System</w:t>
      </w:r>
      <w:r w:rsidR="00743CEF">
        <w:rPr>
          <w:rFonts w:ascii="Garamond" w:hAnsi="Garamond" w:cs="Minion Pro"/>
          <w:color w:val="000000"/>
          <w:sz w:val="24"/>
          <w:szCs w:val="24"/>
        </w:rPr>
        <w:t xml:space="preserve"> permit holders and applicants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 xml:space="preserve"> and the interested </w:t>
      </w:r>
      <w:r w:rsidR="00F746AA">
        <w:rPr>
          <w:rFonts w:ascii="Garamond" w:hAnsi="Garamond" w:cs="Minion Pro"/>
          <w:color w:val="000000"/>
          <w:sz w:val="24"/>
          <w:szCs w:val="24"/>
        </w:rPr>
        <w:t>public regarding the role of human health criteria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 xml:space="preserve"> in water quality standards (18 AAC 70), how </w:t>
      </w:r>
      <w:r w:rsidR="00F746AA">
        <w:rPr>
          <w:rFonts w:ascii="Garamond" w:hAnsi="Garamond" w:cs="Minion Pro"/>
          <w:color w:val="000000"/>
          <w:sz w:val="24"/>
          <w:szCs w:val="24"/>
        </w:rPr>
        <w:t>human health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 xml:space="preserve"> criteria are derived</w:t>
      </w:r>
      <w:r w:rsidR="007C0970">
        <w:rPr>
          <w:rFonts w:ascii="Garamond" w:hAnsi="Garamond" w:cs="Minion Pro"/>
          <w:color w:val="000000"/>
          <w:sz w:val="24"/>
          <w:szCs w:val="24"/>
        </w:rPr>
        <w:t xml:space="preserve">, and how revisions to the 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>criteria may be implemented</w:t>
      </w:r>
      <w:r w:rsidR="00743CEF">
        <w:rPr>
          <w:rFonts w:ascii="Garamond" w:hAnsi="Garamond" w:cs="Minion Pro"/>
          <w:color w:val="000000"/>
          <w:sz w:val="24"/>
          <w:szCs w:val="24"/>
        </w:rPr>
        <w:t xml:space="preserve"> in</w:t>
      </w:r>
      <w:r w:rsidR="00F746AA">
        <w:rPr>
          <w:rFonts w:ascii="Garamond" w:hAnsi="Garamond" w:cs="Minion Pro"/>
          <w:color w:val="000000"/>
          <w:sz w:val="24"/>
          <w:szCs w:val="24"/>
        </w:rPr>
        <w:t xml:space="preserve"> Alaska’s regulatory programs and practices</w:t>
      </w:r>
      <w:r w:rsidR="009704DA" w:rsidRPr="009704DA">
        <w:rPr>
          <w:rFonts w:ascii="Garamond" w:hAnsi="Garamond" w:cs="Minion Pro"/>
          <w:color w:val="000000"/>
          <w:sz w:val="24"/>
          <w:szCs w:val="24"/>
        </w:rPr>
        <w:t xml:space="preserve">. </w:t>
      </w:r>
    </w:p>
    <w:p w:rsidR="009704DA" w:rsidRPr="009704DA" w:rsidRDefault="009704DA" w:rsidP="009704DA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</w:p>
    <w:p w:rsidR="00F746AA" w:rsidRDefault="003045C7" w:rsidP="003045C7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  <w:r w:rsidRPr="003045C7">
        <w:rPr>
          <w:rFonts w:ascii="Garamond" w:hAnsi="Garamond" w:cs="Minion Pro"/>
          <w:color w:val="000000"/>
          <w:sz w:val="24"/>
          <w:szCs w:val="24"/>
        </w:rPr>
        <w:t>The workshop w</w:t>
      </w:r>
      <w:r w:rsidR="00F746AA">
        <w:rPr>
          <w:rFonts w:ascii="Garamond" w:hAnsi="Garamond" w:cs="Minion Pro"/>
          <w:color w:val="000000"/>
          <w:sz w:val="24"/>
          <w:szCs w:val="24"/>
        </w:rPr>
        <w:t>ill be technical in nature. Interested parties</w:t>
      </w:r>
      <w:r w:rsidRPr="003045C7">
        <w:rPr>
          <w:rFonts w:ascii="Garamond" w:hAnsi="Garamond" w:cs="Minion Pro"/>
          <w:color w:val="000000"/>
          <w:sz w:val="24"/>
          <w:szCs w:val="24"/>
        </w:rPr>
        <w:t xml:space="preserve"> should have a basic understanding of</w:t>
      </w:r>
      <w:r w:rsidR="007C0970">
        <w:rPr>
          <w:rFonts w:ascii="Garamond" w:hAnsi="Garamond" w:cs="Minion Pro"/>
          <w:color w:val="000000"/>
          <w:sz w:val="24"/>
          <w:szCs w:val="24"/>
        </w:rPr>
        <w:t xml:space="preserve"> the federal Clean Water Act and</w:t>
      </w:r>
      <w:r w:rsidRPr="003045C7">
        <w:rPr>
          <w:rFonts w:ascii="Garamond" w:hAnsi="Garamond" w:cs="Minion Pro"/>
          <w:color w:val="000000"/>
          <w:sz w:val="24"/>
          <w:szCs w:val="24"/>
        </w:rPr>
        <w:t xml:space="preserve"> the role of water quality standards in environmental regulation. </w:t>
      </w:r>
    </w:p>
    <w:p w:rsidR="00F746AA" w:rsidRDefault="00F746AA" w:rsidP="003045C7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</w:p>
    <w:p w:rsidR="005F6DC2" w:rsidRDefault="00F746AA" w:rsidP="003045C7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  <w:r w:rsidRPr="009704DA">
        <w:rPr>
          <w:rFonts w:ascii="Garamond" w:hAnsi="Garamond" w:cs="Minion Pro"/>
          <w:color w:val="000000"/>
          <w:sz w:val="24"/>
          <w:szCs w:val="24"/>
        </w:rPr>
        <w:t>This workshop is informational only and no regulations are being proposed at this time.</w:t>
      </w:r>
    </w:p>
    <w:p w:rsidR="00F746AA" w:rsidRDefault="00F746AA" w:rsidP="003045C7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</w:p>
    <w:p w:rsidR="003045C7" w:rsidRPr="003045C7" w:rsidRDefault="00AD0795" w:rsidP="005F6DC2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L</w:t>
      </w:r>
      <w:r w:rsidR="003045C7" w:rsidRPr="003045C7">
        <w:rPr>
          <w:rFonts w:ascii="Garamond" w:hAnsi="Garamond" w:cs="Minion Pro"/>
          <w:color w:val="000000"/>
          <w:sz w:val="24"/>
          <w:szCs w:val="24"/>
        </w:rPr>
        <w:t xml:space="preserve">imited space </w:t>
      </w:r>
      <w:r>
        <w:rPr>
          <w:rFonts w:ascii="Garamond" w:hAnsi="Garamond" w:cs="Minion Pro"/>
          <w:color w:val="000000"/>
          <w:sz w:val="24"/>
          <w:szCs w:val="24"/>
        </w:rPr>
        <w:t xml:space="preserve">is </w:t>
      </w:r>
      <w:r w:rsidR="003045C7" w:rsidRPr="003045C7">
        <w:rPr>
          <w:rFonts w:ascii="Garamond" w:hAnsi="Garamond" w:cs="Minion Pro"/>
          <w:color w:val="000000"/>
          <w:sz w:val="24"/>
          <w:szCs w:val="24"/>
        </w:rPr>
        <w:t>available. REGISTRATION IS REQUIRED.</w:t>
      </w:r>
    </w:p>
    <w:p w:rsidR="003045C7" w:rsidRPr="003045C7" w:rsidRDefault="003045C7" w:rsidP="003045C7">
      <w:pPr>
        <w:spacing w:after="0" w:line="240" w:lineRule="auto"/>
        <w:rPr>
          <w:rFonts w:ascii="Garamond" w:hAnsi="Garamond" w:cs="Minion Pro"/>
          <w:color w:val="000000"/>
          <w:sz w:val="24"/>
          <w:szCs w:val="24"/>
        </w:rPr>
      </w:pPr>
    </w:p>
    <w:p w:rsidR="003045C7" w:rsidRPr="003045C7" w:rsidRDefault="003045C7" w:rsidP="00AD0795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  <w:u w:val="single"/>
        </w:rPr>
      </w:pPr>
      <w:r w:rsidRPr="003045C7">
        <w:rPr>
          <w:rFonts w:ascii="Garamond" w:hAnsi="Garamond" w:cs="Minion Pro"/>
          <w:b/>
          <w:color w:val="000000"/>
          <w:sz w:val="24"/>
          <w:szCs w:val="24"/>
          <w:u w:val="single"/>
        </w:rPr>
        <w:t>When?</w:t>
      </w:r>
    </w:p>
    <w:p w:rsidR="003045C7" w:rsidRPr="003045C7" w:rsidRDefault="009704DA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October 29 &amp; 30</w:t>
      </w:r>
      <w:r w:rsidR="003045C7" w:rsidRPr="003045C7">
        <w:rPr>
          <w:rFonts w:ascii="Garamond" w:hAnsi="Garamond" w:cs="Minion Pro"/>
          <w:color w:val="000000"/>
          <w:sz w:val="24"/>
          <w:szCs w:val="24"/>
        </w:rPr>
        <w:t>, 2015</w:t>
      </w:r>
    </w:p>
    <w:p w:rsidR="003045C7" w:rsidRPr="003045C7" w:rsidRDefault="003045C7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</w:p>
    <w:p w:rsidR="003045C7" w:rsidRPr="003045C7" w:rsidRDefault="003045C7" w:rsidP="00AD0795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  <w:u w:val="single"/>
        </w:rPr>
      </w:pPr>
      <w:r w:rsidRPr="003045C7">
        <w:rPr>
          <w:rFonts w:ascii="Garamond" w:hAnsi="Garamond" w:cs="Minion Pro"/>
          <w:b/>
          <w:color w:val="000000"/>
          <w:sz w:val="24"/>
          <w:szCs w:val="24"/>
          <w:u w:val="single"/>
        </w:rPr>
        <w:t>Where?</w:t>
      </w:r>
    </w:p>
    <w:p w:rsidR="003045C7" w:rsidRDefault="009704DA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Alaska Center for the Performing Arts</w:t>
      </w:r>
    </w:p>
    <w:p w:rsidR="005831FF" w:rsidRDefault="005831FF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proofErr w:type="spellStart"/>
      <w:r>
        <w:rPr>
          <w:rFonts w:ascii="Garamond" w:hAnsi="Garamond" w:cs="Minion Pro"/>
          <w:color w:val="000000"/>
          <w:sz w:val="24"/>
          <w:szCs w:val="24"/>
        </w:rPr>
        <w:t>Voth</w:t>
      </w:r>
      <w:proofErr w:type="spellEnd"/>
      <w:r>
        <w:rPr>
          <w:rFonts w:ascii="Garamond" w:hAnsi="Garamond" w:cs="Minion Pro"/>
          <w:color w:val="000000"/>
          <w:sz w:val="24"/>
          <w:szCs w:val="24"/>
        </w:rPr>
        <w:t xml:space="preserve"> Hall</w:t>
      </w:r>
    </w:p>
    <w:p w:rsidR="009704DA" w:rsidRDefault="009704DA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621 West 6</w:t>
      </w:r>
      <w:r w:rsidRPr="009704DA">
        <w:rPr>
          <w:rFonts w:ascii="Garamond" w:hAnsi="Garamond" w:cs="Minion Pro"/>
          <w:color w:val="000000"/>
          <w:sz w:val="24"/>
          <w:szCs w:val="24"/>
          <w:vertAlign w:val="superscript"/>
        </w:rPr>
        <w:t>th</w:t>
      </w:r>
      <w:r>
        <w:rPr>
          <w:rFonts w:ascii="Garamond" w:hAnsi="Garamond" w:cs="Minion Pro"/>
          <w:color w:val="000000"/>
          <w:sz w:val="24"/>
          <w:szCs w:val="24"/>
        </w:rPr>
        <w:t xml:space="preserve"> Ave</w:t>
      </w:r>
    </w:p>
    <w:p w:rsidR="00743CEF" w:rsidRPr="003045C7" w:rsidRDefault="00743CEF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Anchorage</w:t>
      </w:r>
    </w:p>
    <w:p w:rsidR="003045C7" w:rsidRPr="003045C7" w:rsidRDefault="003045C7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</w:p>
    <w:p w:rsidR="007C0970" w:rsidRPr="007C0970" w:rsidRDefault="003045C7" w:rsidP="007C0970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</w:rPr>
      </w:pPr>
      <w:r w:rsidRPr="005F6DC2">
        <w:rPr>
          <w:rFonts w:ascii="Garamond" w:hAnsi="Garamond" w:cs="Minion Pro"/>
          <w:b/>
          <w:color w:val="000000"/>
          <w:sz w:val="24"/>
          <w:szCs w:val="24"/>
          <w:u w:val="single"/>
        </w:rPr>
        <w:t>Registration</w:t>
      </w:r>
      <w:r w:rsidR="00743CEF">
        <w:rPr>
          <w:rFonts w:ascii="Garamond" w:hAnsi="Garamond" w:cs="Minion Pro"/>
          <w:b/>
          <w:color w:val="000000"/>
          <w:sz w:val="24"/>
          <w:szCs w:val="24"/>
          <w:u w:val="single"/>
        </w:rPr>
        <w:t xml:space="preserve"> and Information</w:t>
      </w:r>
      <w:bookmarkStart w:id="0" w:name="_GoBack"/>
      <w:bookmarkEnd w:id="0"/>
      <w:r w:rsidRPr="003045C7">
        <w:rPr>
          <w:rFonts w:ascii="Garamond" w:hAnsi="Garamond" w:cs="Minion Pro"/>
          <w:b/>
          <w:color w:val="000000"/>
          <w:sz w:val="24"/>
          <w:szCs w:val="24"/>
        </w:rPr>
        <w:t>:</w:t>
      </w:r>
    </w:p>
    <w:p w:rsidR="00743CEF" w:rsidRDefault="00743CEF" w:rsidP="00AD0795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 xml:space="preserve">For registration and </w:t>
      </w:r>
      <w:r w:rsidR="007C0970">
        <w:rPr>
          <w:rFonts w:ascii="Garamond" w:hAnsi="Garamond" w:cs="Minion Pro"/>
          <w:color w:val="000000"/>
          <w:sz w:val="24"/>
          <w:szCs w:val="24"/>
        </w:rPr>
        <w:t>additional information see:</w:t>
      </w:r>
    </w:p>
    <w:p w:rsidR="007C0970" w:rsidRDefault="007C0970" w:rsidP="00AD0795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 xml:space="preserve"> </w:t>
      </w:r>
      <w:hyperlink r:id="rId12" w:history="1">
        <w:r w:rsidR="005F6DC2" w:rsidRPr="00616662">
          <w:rPr>
            <w:rStyle w:val="Hyperlink"/>
            <w:rFonts w:ascii="Garamond" w:hAnsi="Garamond" w:cs="Minion Pro"/>
            <w:b/>
            <w:sz w:val="24"/>
            <w:szCs w:val="24"/>
          </w:rPr>
          <w:t>http://dec.alaska.gov/water/FCWQS/index.html</w:t>
        </w:r>
      </w:hyperlink>
    </w:p>
    <w:p w:rsidR="007C0970" w:rsidRDefault="007C0970" w:rsidP="005F6DC2">
      <w:pPr>
        <w:spacing w:after="0" w:line="240" w:lineRule="auto"/>
        <w:rPr>
          <w:rFonts w:ascii="Garamond" w:hAnsi="Garamond" w:cs="Minion Pro"/>
          <w:b/>
          <w:color w:val="000000"/>
          <w:sz w:val="24"/>
          <w:szCs w:val="24"/>
        </w:rPr>
      </w:pPr>
    </w:p>
    <w:p w:rsidR="007C0970" w:rsidRPr="005F6DC2" w:rsidRDefault="007C0970" w:rsidP="00AD0795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  <w:u w:val="single"/>
        </w:rPr>
      </w:pPr>
      <w:r w:rsidRPr="005F6DC2">
        <w:rPr>
          <w:rFonts w:ascii="Garamond" w:hAnsi="Garamond" w:cs="Minion Pro"/>
          <w:b/>
          <w:color w:val="000000"/>
          <w:sz w:val="24"/>
          <w:szCs w:val="24"/>
          <w:u w:val="single"/>
        </w:rPr>
        <w:t>Staff Contact</w:t>
      </w:r>
    </w:p>
    <w:p w:rsidR="007C0970" w:rsidRPr="003045C7" w:rsidRDefault="007C0970" w:rsidP="007C0970">
      <w:pPr>
        <w:spacing w:after="0" w:line="240" w:lineRule="auto"/>
        <w:jc w:val="center"/>
        <w:rPr>
          <w:rFonts w:ascii="Garamond" w:hAnsi="Garamond" w:cs="Minion Pro"/>
          <w:color w:val="000000"/>
          <w:sz w:val="24"/>
          <w:szCs w:val="24"/>
        </w:rPr>
      </w:pPr>
      <w:r>
        <w:rPr>
          <w:rFonts w:ascii="Garamond" w:hAnsi="Garamond" w:cs="Minion Pro"/>
          <w:color w:val="000000"/>
          <w:sz w:val="24"/>
          <w:szCs w:val="24"/>
        </w:rPr>
        <w:t>Brock Tabor: (907) 465-5185</w:t>
      </w:r>
      <w:r w:rsidRPr="003045C7">
        <w:rPr>
          <w:rFonts w:ascii="Garamond" w:hAnsi="Garamond" w:cs="Minion Pro"/>
          <w:color w:val="000000"/>
          <w:sz w:val="24"/>
          <w:szCs w:val="24"/>
        </w:rPr>
        <w:t xml:space="preserve"> or email </w:t>
      </w:r>
      <w:r>
        <w:rPr>
          <w:rFonts w:ascii="Garamond" w:hAnsi="Garamond" w:cs="Minion Pro"/>
          <w:color w:val="000000"/>
          <w:sz w:val="24"/>
          <w:szCs w:val="24"/>
        </w:rPr>
        <w:t>brock.tabor</w:t>
      </w:r>
      <w:r w:rsidRPr="003045C7">
        <w:rPr>
          <w:rFonts w:ascii="Garamond" w:hAnsi="Garamond" w:cs="Minion Pro"/>
          <w:color w:val="000000"/>
          <w:sz w:val="24"/>
          <w:szCs w:val="24"/>
        </w:rPr>
        <w:t>@alaska.gov</w:t>
      </w:r>
    </w:p>
    <w:p w:rsidR="007C0970" w:rsidRDefault="003045C7" w:rsidP="00AD0795">
      <w:pPr>
        <w:spacing w:after="0" w:line="240" w:lineRule="auto"/>
        <w:jc w:val="center"/>
        <w:rPr>
          <w:rFonts w:ascii="Garamond" w:hAnsi="Garamond" w:cs="Minion Pro"/>
          <w:b/>
          <w:color w:val="000000"/>
          <w:sz w:val="24"/>
          <w:szCs w:val="24"/>
        </w:rPr>
      </w:pPr>
      <w:r w:rsidRPr="003045C7">
        <w:rPr>
          <w:rFonts w:ascii="Garamond" w:hAnsi="Garamond" w:cs="Minion Pro"/>
          <w:b/>
          <w:color w:val="000000"/>
          <w:sz w:val="24"/>
          <w:szCs w:val="24"/>
        </w:rPr>
        <w:t xml:space="preserve">   </w:t>
      </w:r>
    </w:p>
    <w:p w:rsidR="00A41250" w:rsidRPr="0052416D" w:rsidRDefault="00A41250" w:rsidP="00A4125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41250" w:rsidRPr="0052416D" w:rsidRDefault="00A41250" w:rsidP="00A4125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41250" w:rsidRPr="0052416D" w:rsidRDefault="00A41250" w:rsidP="00A4125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41250" w:rsidRPr="0052416D" w:rsidRDefault="00A41250" w:rsidP="00A41250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A41250" w:rsidRPr="0052416D" w:rsidSect="00A41250">
      <w:type w:val="continuous"/>
      <w:pgSz w:w="12240" w:h="15840" w:code="1"/>
      <w:pgMar w:top="1080" w:right="1440" w:bottom="1440" w:left="1440" w:header="1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00" w:rsidRDefault="00060C00" w:rsidP="005F176A">
      <w:pPr>
        <w:spacing w:after="0" w:line="240" w:lineRule="auto"/>
      </w:pPr>
      <w:r>
        <w:separator/>
      </w:r>
    </w:p>
  </w:endnote>
  <w:endnote w:type="continuationSeparator" w:id="0">
    <w:p w:rsidR="00060C00" w:rsidRDefault="00060C00" w:rsidP="005F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22B" w:rsidRDefault="00B2722B" w:rsidP="00B2722B">
    <w:pPr>
      <w:pStyle w:val="Footer"/>
      <w:tabs>
        <w:tab w:val="clear" w:pos="9360"/>
        <w:tab w:val="right" w:pos="10800"/>
      </w:tabs>
      <w:ind w:left="-1440" w:right="-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00" w:rsidRDefault="00060C00" w:rsidP="005F176A">
      <w:pPr>
        <w:spacing w:after="0" w:line="240" w:lineRule="auto"/>
      </w:pPr>
      <w:r>
        <w:separator/>
      </w:r>
    </w:p>
  </w:footnote>
  <w:footnote w:type="continuationSeparator" w:id="0">
    <w:p w:rsidR="00060C00" w:rsidRDefault="00060C00" w:rsidP="005F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A2" w:rsidRDefault="00743C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31134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AK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A2" w:rsidRDefault="002242A2" w:rsidP="00ED0EF6">
    <w:pPr>
      <w:pStyle w:val="Header"/>
      <w:tabs>
        <w:tab w:val="clear" w:pos="9360"/>
        <w:tab w:val="left" w:pos="10800"/>
      </w:tabs>
      <w:ind w:left="-1440" w:right="-1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A2" w:rsidRDefault="00743CEF" w:rsidP="002F25EE">
    <w:pPr>
      <w:pStyle w:val="Header"/>
      <w:tabs>
        <w:tab w:val="clear" w:pos="9360"/>
        <w:tab w:val="right" w:pos="10800"/>
      </w:tabs>
      <w:ind w:left="-1440" w:right="-144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31133" o:spid="_x0000_s2055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AK Watermark"/>
          <w10:wrap anchorx="margin" anchory="margin"/>
        </v:shape>
      </w:pict>
    </w:r>
    <w:r w:rsidR="002242A2">
      <w:rPr>
        <w:noProof/>
      </w:rPr>
      <w:drawing>
        <wp:inline distT="0" distB="0" distL="0" distR="0">
          <wp:extent cx="7798003" cy="2749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Graphic Ba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07" cy="27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04"/>
    <w:rsid w:val="00003CD5"/>
    <w:rsid w:val="000171CB"/>
    <w:rsid w:val="00060C00"/>
    <w:rsid w:val="0013295E"/>
    <w:rsid w:val="00190686"/>
    <w:rsid w:val="001B454A"/>
    <w:rsid w:val="002242A2"/>
    <w:rsid w:val="002C5985"/>
    <w:rsid w:val="002F12AA"/>
    <w:rsid w:val="002F25EE"/>
    <w:rsid w:val="002F60D9"/>
    <w:rsid w:val="003045C7"/>
    <w:rsid w:val="0031747B"/>
    <w:rsid w:val="003A3733"/>
    <w:rsid w:val="00410039"/>
    <w:rsid w:val="0045762A"/>
    <w:rsid w:val="0052416D"/>
    <w:rsid w:val="00540E7A"/>
    <w:rsid w:val="00544C55"/>
    <w:rsid w:val="005659F8"/>
    <w:rsid w:val="005831FF"/>
    <w:rsid w:val="005F176A"/>
    <w:rsid w:val="005F6DC2"/>
    <w:rsid w:val="006D4F4D"/>
    <w:rsid w:val="006F6E81"/>
    <w:rsid w:val="00743CEF"/>
    <w:rsid w:val="00774617"/>
    <w:rsid w:val="00785E02"/>
    <w:rsid w:val="007C0970"/>
    <w:rsid w:val="007C3A15"/>
    <w:rsid w:val="00863952"/>
    <w:rsid w:val="008A5904"/>
    <w:rsid w:val="0093291A"/>
    <w:rsid w:val="00957EA9"/>
    <w:rsid w:val="009704DA"/>
    <w:rsid w:val="00A41250"/>
    <w:rsid w:val="00A55628"/>
    <w:rsid w:val="00AD0795"/>
    <w:rsid w:val="00AD6646"/>
    <w:rsid w:val="00B2722B"/>
    <w:rsid w:val="00B51F52"/>
    <w:rsid w:val="00C60276"/>
    <w:rsid w:val="00CA1339"/>
    <w:rsid w:val="00CA7F84"/>
    <w:rsid w:val="00CE72EE"/>
    <w:rsid w:val="00D566AD"/>
    <w:rsid w:val="00E13F6F"/>
    <w:rsid w:val="00E658AC"/>
    <w:rsid w:val="00E83190"/>
    <w:rsid w:val="00EB61E2"/>
    <w:rsid w:val="00ED0EF6"/>
    <w:rsid w:val="00F1690E"/>
    <w:rsid w:val="00F7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2F8F0911-740B-4A60-BC32-BB0F921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76A"/>
  </w:style>
  <w:style w:type="paragraph" w:styleId="Footer">
    <w:name w:val="footer"/>
    <w:basedOn w:val="Normal"/>
    <w:link w:val="FooterChar"/>
    <w:uiPriority w:val="99"/>
    <w:unhideWhenUsed/>
    <w:rsid w:val="005F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76A"/>
  </w:style>
  <w:style w:type="paragraph" w:customStyle="1" w:styleId="BasicParagraph">
    <w:name w:val="[Basic Paragraph]"/>
    <w:basedOn w:val="Normal"/>
    <w:uiPriority w:val="99"/>
    <w:rsid w:val="004576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2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5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5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74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04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dec.alaska.gov/water/FCWQ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411A-6D88-4892-AD06-199CDC59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D. Soukup</dc:creator>
  <cp:lastModifiedBy>Tabor, Brock</cp:lastModifiedBy>
  <cp:revision>2</cp:revision>
  <cp:lastPrinted>2012-05-01T18:02:00Z</cp:lastPrinted>
  <dcterms:created xsi:type="dcterms:W3CDTF">2015-08-27T19:08:00Z</dcterms:created>
  <dcterms:modified xsi:type="dcterms:W3CDTF">2015-08-27T19:08:00Z</dcterms:modified>
</cp:coreProperties>
</file>